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35BBCEFC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  <w:r w:rsidRPr="00A21032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087FD857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269156BD" w:rsidR="00F735DE" w:rsidRPr="00E84BE0" w:rsidRDefault="00CE6040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269156BD" w:rsidR="00F735DE" w:rsidRPr="00E84BE0" w:rsidRDefault="00CE6040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01341A7F" w:rsidR="008673BE" w:rsidRPr="00A21032" w:rsidRDefault="00443762">
      <w:pPr>
        <w:jc w:val="center"/>
        <w:rPr>
          <w:rFonts w:ascii="ＭＳ 明朝" w:hAnsi="ＭＳ 明朝" w:cs="Arial"/>
          <w:b/>
          <w:sz w:val="24"/>
          <w:szCs w:val="24"/>
        </w:rPr>
      </w:pPr>
      <w:r>
        <w:rPr>
          <w:rFonts w:ascii="ＭＳ 明朝" w:hAnsi="ＭＳ 明朝" w:cs="Arial" w:hint="eastAsia"/>
          <w:b/>
          <w:sz w:val="24"/>
          <w:szCs w:val="24"/>
        </w:rPr>
        <w:t>運用</w:t>
      </w:r>
      <w:r w:rsidR="002F35FB">
        <w:rPr>
          <w:rFonts w:ascii="ＭＳ 明朝" w:hAnsi="ＭＳ 明朝" w:cs="Arial" w:hint="eastAsia"/>
          <w:b/>
          <w:sz w:val="24"/>
          <w:szCs w:val="24"/>
        </w:rPr>
        <w:t>財産の総額に占める</w:t>
      </w:r>
      <w:r w:rsidR="002F35FB">
        <w:rPr>
          <w:rFonts w:ascii="ＭＳ 明朝" w:hAnsi="ＭＳ 明朝" w:cs="Arial"/>
          <w:b/>
          <w:sz w:val="24"/>
          <w:szCs w:val="24"/>
        </w:rPr>
        <w:br/>
      </w:r>
      <w:r>
        <w:rPr>
          <w:rFonts w:ascii="ＭＳ 明朝" w:hAnsi="ＭＳ 明朝" w:cs="Arial" w:hint="eastAsia"/>
          <w:b/>
          <w:sz w:val="24"/>
          <w:szCs w:val="24"/>
        </w:rPr>
        <w:t>政令で定める</w:t>
      </w:r>
      <w:r w:rsidR="002F35FB">
        <w:rPr>
          <w:rFonts w:ascii="ＭＳ 明朝" w:hAnsi="ＭＳ 明朝" w:cs="Arial" w:hint="eastAsia"/>
          <w:b/>
          <w:sz w:val="24"/>
          <w:szCs w:val="24"/>
        </w:rPr>
        <w:t>有価証券の価額の割合の推移</w:t>
      </w:r>
      <w:r w:rsidR="00CE6040" w:rsidRPr="00A21032">
        <w:rPr>
          <w:rFonts w:ascii="ＭＳ 明朝" w:hAnsi="ＭＳ 明朝" w:cs="Arial" w:hint="eastAsia"/>
          <w:b/>
          <w:sz w:val="24"/>
          <w:szCs w:val="24"/>
        </w:rPr>
        <w:t>を記載した書面</w:t>
      </w:r>
    </w:p>
    <w:p w14:paraId="1D9DB8C1" w14:textId="1EAC48C0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</w:p>
    <w:p w14:paraId="46C59795" w14:textId="58772703" w:rsidR="00F735DE" w:rsidRPr="00A21032" w:rsidRDefault="00F735DE" w:rsidP="00F735DE">
      <w:pPr>
        <w:jc w:val="center"/>
        <w:rPr>
          <w:rFonts w:ascii="ＭＳ 明朝" w:hAnsi="ＭＳ 明朝"/>
          <w:sz w:val="24"/>
          <w:szCs w:val="24"/>
        </w:rPr>
      </w:pPr>
    </w:p>
    <w:p w14:paraId="2555164F" w14:textId="46E93242" w:rsidR="00F735DE" w:rsidRPr="00A21032" w:rsidRDefault="00CE6040" w:rsidP="00F735DE">
      <w:pPr>
        <w:jc w:val="right"/>
        <w:rPr>
          <w:rFonts w:ascii="ＭＳ 明朝" w:hAnsi="ＭＳ 明朝" w:cs="Arial"/>
          <w:b/>
          <w:color w:val="FF0000"/>
          <w:sz w:val="24"/>
          <w:szCs w:val="24"/>
        </w:rPr>
      </w:pPr>
      <w:r w:rsidRPr="00A21032">
        <w:rPr>
          <w:rFonts w:ascii="ＭＳ 明朝" w:hAnsi="ＭＳ 明朝" w:cs="Arial" w:hint="eastAsia"/>
          <w:sz w:val="24"/>
          <w:szCs w:val="24"/>
        </w:rPr>
        <w:t>商号又は名称</w:t>
      </w:r>
      <w:r w:rsidR="00F735DE" w:rsidRPr="00A21032">
        <w:rPr>
          <w:rFonts w:ascii="ＭＳ 明朝" w:hAnsi="ＭＳ 明朝" w:cs="Arial"/>
          <w:sz w:val="24"/>
          <w:szCs w:val="24"/>
        </w:rPr>
        <w:t xml:space="preserve">: </w:t>
      </w:r>
      <w:r w:rsidR="00B2607E" w:rsidRPr="00B2607E">
        <w:rPr>
          <w:rFonts w:ascii="ＭＳ 明朝" w:hAnsi="ＭＳ 明朝" w:cs="Arial"/>
          <w:b/>
          <w:color w:val="FF0000"/>
          <w:sz w:val="24"/>
          <w:szCs w:val="24"/>
        </w:rPr>
        <w:t>ABCDインベストメント・マネジメント・</w:t>
      </w:r>
      <w:r w:rsidR="00B2607E">
        <w:rPr>
          <w:rFonts w:ascii="ＭＳ 明朝" w:hAnsi="ＭＳ 明朝" w:cs="Arial"/>
          <w:b/>
          <w:color w:val="FF0000"/>
          <w:sz w:val="24"/>
          <w:szCs w:val="24"/>
        </w:rPr>
        <w:br/>
      </w:r>
      <w:r w:rsidR="00443762">
        <w:rPr>
          <w:rFonts w:ascii="ＭＳ 明朝" w:hAnsi="ＭＳ 明朝" w:cs="Arial" w:hint="eastAsia"/>
          <w:b/>
          <w:color w:val="FF0000"/>
          <w:sz w:val="24"/>
          <w:szCs w:val="24"/>
        </w:rPr>
        <w:t>ジャパン・</w:t>
      </w:r>
      <w:r w:rsidR="00B2607E" w:rsidRPr="00B2607E">
        <w:rPr>
          <w:rFonts w:ascii="ＭＳ 明朝" w:hAnsi="ＭＳ 明朝" w:cs="Arial"/>
          <w:b/>
          <w:color w:val="FF0000"/>
          <w:sz w:val="24"/>
          <w:szCs w:val="24"/>
        </w:rPr>
        <w:t>リミテッド</w:t>
      </w:r>
    </w:p>
    <w:p w14:paraId="23355022" w14:textId="7A2AEC4C" w:rsidR="006245A3" w:rsidRPr="00A21032" w:rsidRDefault="006245A3" w:rsidP="00F735DE">
      <w:pPr>
        <w:jc w:val="right"/>
        <w:rPr>
          <w:rFonts w:ascii="ＭＳ 明朝" w:hAnsi="ＭＳ 明朝" w:cs="Arial"/>
          <w:b/>
          <w:color w:val="FF0000"/>
          <w:sz w:val="24"/>
          <w:szCs w:val="24"/>
        </w:rPr>
      </w:pPr>
    </w:p>
    <w:p w14:paraId="0B73CA28" w14:textId="75F66A86" w:rsidR="00B64D54" w:rsidRPr="00A21032" w:rsidRDefault="00B64D54" w:rsidP="00B64D54">
      <w:pPr>
        <w:ind w:left="240" w:hangingChars="100" w:hanging="240"/>
        <w:jc w:val="left"/>
        <w:rPr>
          <w:rFonts w:ascii="ＭＳ 明朝" w:hAnsi="ＭＳ 明朝" w:cs="Arial"/>
          <w:color w:val="000000" w:themeColor="text1"/>
          <w:sz w:val="24"/>
          <w:szCs w:val="24"/>
        </w:rPr>
      </w:pPr>
      <w:r w:rsidRPr="00A21032">
        <w:rPr>
          <w:rFonts w:ascii="ＭＳ 明朝" w:hAnsi="ＭＳ 明朝" w:cs="Arial" w:hint="eastAsia"/>
          <w:color w:val="000000" w:themeColor="text1"/>
          <w:sz w:val="24"/>
          <w:szCs w:val="24"/>
        </w:rPr>
        <w:t>１．</w:t>
      </w:r>
      <w:r w:rsidR="002F35FB">
        <w:rPr>
          <w:rFonts w:ascii="ＭＳ 明朝" w:hAnsi="ＭＳ 明朝" w:cs="Arial" w:hint="eastAsia"/>
          <w:color w:val="000000" w:themeColor="text1"/>
          <w:sz w:val="24"/>
          <w:szCs w:val="24"/>
        </w:rPr>
        <w:t>直近の事業年度における</w:t>
      </w:r>
      <w:r w:rsidR="00443762">
        <w:rPr>
          <w:rFonts w:ascii="ＭＳ 明朝" w:hAnsi="ＭＳ 明朝" w:cs="Arial" w:hint="eastAsia"/>
          <w:color w:val="000000" w:themeColor="text1"/>
          <w:sz w:val="24"/>
          <w:szCs w:val="24"/>
        </w:rPr>
        <w:t>運用を行う</w:t>
      </w:r>
      <w:r w:rsidR="002F35FB" w:rsidRPr="002F35FB">
        <w:rPr>
          <w:rFonts w:ascii="ＭＳ 明朝" w:hAnsi="ＭＳ 明朝" w:cs="Arial" w:hint="eastAsia"/>
          <w:color w:val="000000" w:themeColor="text1"/>
          <w:sz w:val="24"/>
          <w:szCs w:val="24"/>
        </w:rPr>
        <w:t>金銭その他の財産の総額に占める</w:t>
      </w:r>
      <w:r w:rsidR="00624F87">
        <w:rPr>
          <w:rFonts w:ascii="ＭＳ 明朝" w:hAnsi="ＭＳ 明朝" w:cs="Arial" w:hint="eastAsia"/>
          <w:color w:val="000000" w:themeColor="text1"/>
          <w:sz w:val="24"/>
          <w:szCs w:val="24"/>
        </w:rPr>
        <w:t>令附則第６項に定める</w:t>
      </w:r>
      <w:r w:rsidR="002F35FB" w:rsidRPr="002F35FB">
        <w:rPr>
          <w:rFonts w:ascii="ＭＳ 明朝" w:hAnsi="ＭＳ 明朝" w:cs="Arial" w:hint="eastAsia"/>
          <w:color w:val="000000" w:themeColor="text1"/>
          <w:sz w:val="24"/>
          <w:szCs w:val="24"/>
        </w:rPr>
        <w:t>有価証券の価額の割合の推移</w:t>
      </w:r>
    </w:p>
    <w:p w14:paraId="65A315AA" w14:textId="3F5CD25A" w:rsidR="00601FB1" w:rsidRPr="00A21032" w:rsidRDefault="00B64D54" w:rsidP="000A5927">
      <w:pPr>
        <w:jc w:val="right"/>
        <w:rPr>
          <w:rFonts w:ascii="ＭＳ 明朝" w:hAnsi="ＭＳ 明朝" w:cs="Arial"/>
          <w:color w:val="000000" w:themeColor="text1"/>
          <w:sz w:val="24"/>
          <w:szCs w:val="24"/>
        </w:rPr>
      </w:pPr>
      <w:r w:rsidRPr="00A21032">
        <w:rPr>
          <w:rFonts w:ascii="ＭＳ 明朝" w:hAnsi="ＭＳ 明朝" w:cs="Arial" w:hint="eastAsia"/>
          <w:color w:val="000000" w:themeColor="text1"/>
          <w:sz w:val="24"/>
          <w:szCs w:val="24"/>
        </w:rPr>
        <w:t xml:space="preserve">　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5"/>
        <w:gridCol w:w="2055"/>
        <w:gridCol w:w="2056"/>
      </w:tblGrid>
      <w:tr w:rsidR="002F35FB" w:rsidRPr="005E6F31" w14:paraId="2F513098" w14:textId="77777777" w:rsidTr="00C12004">
        <w:trPr>
          <w:trHeight w:val="720"/>
        </w:trPr>
        <w:tc>
          <w:tcPr>
            <w:tcW w:w="2055" w:type="dxa"/>
            <w:shd w:val="clear" w:color="auto" w:fill="auto"/>
            <w:vAlign w:val="center"/>
          </w:tcPr>
          <w:p w14:paraId="619DAEFE" w14:textId="28B6DA69" w:rsidR="002F35FB" w:rsidRPr="005E6F31" w:rsidRDefault="00C6304E" w:rsidP="002F35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時点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94F3098" w14:textId="5FC6D5C3" w:rsidR="002F35FB" w:rsidRPr="002F35FB" w:rsidRDefault="00C6304E" w:rsidP="002F35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令附則第６項に定める有価証券</w:t>
            </w:r>
            <w:r w:rsidR="00961C7D">
              <w:rPr>
                <w:rFonts w:ascii="ＭＳ 明朝" w:hAnsi="ＭＳ 明朝" w:hint="eastAsia"/>
                <w:kern w:val="0"/>
                <w:sz w:val="24"/>
                <w:szCs w:val="24"/>
              </w:rPr>
              <w:t>の価額</w:t>
            </w:r>
            <w:r w:rsidR="00DD3B12">
              <w:rPr>
                <w:rFonts w:ascii="ＭＳ 明朝" w:hAnsi="ＭＳ 明朝" w:hint="eastAsia"/>
                <w:kern w:val="0"/>
                <w:sz w:val="24"/>
                <w:szCs w:val="24"/>
              </w:rPr>
              <w:t>（Ａ）</w:t>
            </w:r>
          </w:p>
        </w:tc>
        <w:tc>
          <w:tcPr>
            <w:tcW w:w="2055" w:type="dxa"/>
            <w:vAlign w:val="center"/>
          </w:tcPr>
          <w:p w14:paraId="61F075F2" w14:textId="668E3218" w:rsidR="002F35FB" w:rsidRPr="002F35FB" w:rsidRDefault="00C6304E" w:rsidP="002F35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F35FB">
              <w:rPr>
                <w:rFonts w:ascii="ＭＳ 明朝" w:hAnsi="ＭＳ 明朝" w:cs="Arial" w:hint="eastAsia"/>
                <w:color w:val="000000" w:themeColor="text1"/>
                <w:sz w:val="24"/>
                <w:szCs w:val="24"/>
              </w:rPr>
              <w:t>金銭その他の</w:t>
            </w:r>
            <w:r>
              <w:rPr>
                <w:rFonts w:ascii="ＭＳ 明朝" w:hAnsi="ＭＳ 明朝" w:cs="Arial"/>
                <w:color w:val="000000" w:themeColor="text1"/>
                <w:sz w:val="24"/>
                <w:szCs w:val="24"/>
              </w:rPr>
              <w:br/>
            </w:r>
            <w:r w:rsidRPr="002F35FB">
              <w:rPr>
                <w:rFonts w:ascii="ＭＳ 明朝" w:hAnsi="ＭＳ 明朝" w:cs="Arial" w:hint="eastAsia"/>
                <w:color w:val="000000" w:themeColor="text1"/>
                <w:sz w:val="24"/>
                <w:szCs w:val="24"/>
              </w:rPr>
              <w:t>財産の総額</w:t>
            </w:r>
            <w:r w:rsidR="00DD3B12">
              <w:rPr>
                <w:rFonts w:ascii="ＭＳ 明朝" w:hAnsi="ＭＳ 明朝" w:cs="Arial"/>
                <w:color w:val="000000" w:themeColor="text1"/>
                <w:sz w:val="24"/>
                <w:szCs w:val="24"/>
              </w:rPr>
              <w:br/>
            </w:r>
            <w:r w:rsidR="00DD3B12">
              <w:rPr>
                <w:rFonts w:ascii="ＭＳ 明朝" w:hAnsi="ＭＳ 明朝" w:cs="Arial" w:hint="eastAsia"/>
                <w:color w:val="000000" w:themeColor="text1"/>
                <w:sz w:val="24"/>
                <w:szCs w:val="24"/>
              </w:rPr>
              <w:t>（Ｂ）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AD02CBD" w14:textId="6E6E0D29" w:rsidR="002F35FB" w:rsidRPr="002F35FB" w:rsidRDefault="00C6304E" w:rsidP="002F35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割合</w:t>
            </w:r>
            <w:r w:rsidR="00DD3B12">
              <w:rPr>
                <w:rFonts w:ascii="ＭＳ 明朝" w:hAnsi="ＭＳ 明朝"/>
                <w:kern w:val="0"/>
                <w:sz w:val="24"/>
                <w:szCs w:val="24"/>
              </w:rPr>
              <w:br/>
            </w:r>
            <w:r w:rsidR="00DD3B12">
              <w:rPr>
                <w:rFonts w:ascii="ＭＳ 明朝" w:hAnsi="ＭＳ 明朝" w:hint="eastAsia"/>
                <w:kern w:val="0"/>
                <w:sz w:val="24"/>
                <w:szCs w:val="24"/>
              </w:rPr>
              <w:t>（Ａ／Ｂ）</w:t>
            </w:r>
          </w:p>
        </w:tc>
      </w:tr>
      <w:tr w:rsidR="00C6304E" w:rsidRPr="005E6F31" w14:paraId="32EBED4C" w14:textId="77777777" w:rsidTr="00C6304E">
        <w:trPr>
          <w:trHeight w:val="349"/>
        </w:trPr>
        <w:tc>
          <w:tcPr>
            <w:tcW w:w="2055" w:type="dxa"/>
            <w:shd w:val="clear" w:color="auto" w:fill="auto"/>
            <w:vAlign w:val="center"/>
          </w:tcPr>
          <w:p w14:paraId="58C1FA34" w14:textId="4344A418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2020年１月末</w:t>
            </w:r>
          </w:p>
        </w:tc>
        <w:tc>
          <w:tcPr>
            <w:tcW w:w="2055" w:type="dxa"/>
            <w:shd w:val="clear" w:color="auto" w:fill="auto"/>
          </w:tcPr>
          <w:p w14:paraId="7018DBFF" w14:textId="22568310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0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7FBDE9C9" w14:textId="486B5D64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1,000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5760AD79" w14:textId="21BB7C9F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1B3D3C46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1FFB5D7E" w14:textId="7BC17529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2020年２月末</w:t>
            </w:r>
          </w:p>
        </w:tc>
        <w:tc>
          <w:tcPr>
            <w:tcW w:w="2055" w:type="dxa"/>
            <w:shd w:val="clear" w:color="auto" w:fill="auto"/>
          </w:tcPr>
          <w:p w14:paraId="093E7F4C" w14:textId="256B37A1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180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3AC21647" w14:textId="094A453E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2C6E36E8" w14:textId="46CFC2E3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15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5A11E784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173E02AD" w14:textId="6FBC875B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2020年３月末</w:t>
            </w:r>
          </w:p>
        </w:tc>
        <w:tc>
          <w:tcPr>
            <w:tcW w:w="2055" w:type="dxa"/>
            <w:shd w:val="clear" w:color="auto" w:fill="auto"/>
          </w:tcPr>
          <w:p w14:paraId="40F977FF" w14:textId="36472860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143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433F05A8" w14:textId="1703C2AB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09248BC0" w14:textId="2353BBD1" w:rsidR="00C6304E" w:rsidRPr="005E6F31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13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25BBC463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4904946F" w14:textId="5CE903EB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2020年４月末</w:t>
            </w:r>
          </w:p>
        </w:tc>
        <w:tc>
          <w:tcPr>
            <w:tcW w:w="2055" w:type="dxa"/>
            <w:shd w:val="clear" w:color="auto" w:fill="auto"/>
          </w:tcPr>
          <w:p w14:paraId="4FBF3D2A" w14:textId="35EEA993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138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769A621A" w14:textId="2216D17A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5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1BB2643A" w14:textId="02D3001C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12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3BA79B85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51F1E9E8" w14:textId="636AC962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2020年５月末</w:t>
            </w:r>
          </w:p>
        </w:tc>
        <w:tc>
          <w:tcPr>
            <w:tcW w:w="2055" w:type="dxa"/>
            <w:shd w:val="clear" w:color="auto" w:fill="auto"/>
          </w:tcPr>
          <w:p w14:paraId="48A74631" w14:textId="4BA020C7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150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543CA8A1" w14:textId="501A3300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500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361E18BB" w14:textId="0334B9DE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4BEE17B3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3D85F0B5" w14:textId="050ADBE1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2020年６月末</w:t>
            </w:r>
          </w:p>
        </w:tc>
        <w:tc>
          <w:tcPr>
            <w:tcW w:w="2055" w:type="dxa"/>
            <w:shd w:val="clear" w:color="auto" w:fill="auto"/>
          </w:tcPr>
          <w:p w14:paraId="56702240" w14:textId="2814A0FF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200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26DECA91" w14:textId="2B71B029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800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4C0DE3EF" w14:textId="6FAB729D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25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0191338D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77F534D4" w14:textId="0CBE3BCC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2020年７月末</w:t>
            </w:r>
          </w:p>
        </w:tc>
        <w:tc>
          <w:tcPr>
            <w:tcW w:w="2055" w:type="dxa"/>
            <w:shd w:val="clear" w:color="auto" w:fill="auto"/>
          </w:tcPr>
          <w:p w14:paraId="14F89D62" w14:textId="6B9FD10B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180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20BA6F87" w14:textId="3E03FC98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2B5546FD" w14:textId="581EA3E5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18</w:t>
            </w:r>
            <w:r w:rsidR="00C6304E"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0F35E574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337E72A7" w14:textId="3FFC771C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2020年８月末</w:t>
            </w:r>
          </w:p>
        </w:tc>
        <w:tc>
          <w:tcPr>
            <w:tcW w:w="2055" w:type="dxa"/>
            <w:shd w:val="clear" w:color="auto" w:fill="auto"/>
          </w:tcPr>
          <w:p w14:paraId="1501409F" w14:textId="2EDA3BD0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156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6C18BFF8" w14:textId="1B5B7C91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0C896D61" w14:textId="6F8D74DF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13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26995927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186A2CC8" w14:textId="483CD078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2020年９月末</w:t>
            </w:r>
          </w:p>
        </w:tc>
        <w:tc>
          <w:tcPr>
            <w:tcW w:w="2055" w:type="dxa"/>
            <w:shd w:val="clear" w:color="auto" w:fill="auto"/>
          </w:tcPr>
          <w:p w14:paraId="3C44AFDA" w14:textId="5CAD6945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110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321B04B4" w14:textId="797955EA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5190444F" w14:textId="5B4F6798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43A2F3CC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2247A6FC" w14:textId="2C7BF326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2020年10月末</w:t>
            </w:r>
          </w:p>
        </w:tc>
        <w:tc>
          <w:tcPr>
            <w:tcW w:w="2055" w:type="dxa"/>
            <w:shd w:val="clear" w:color="auto" w:fill="auto"/>
          </w:tcPr>
          <w:p w14:paraId="31DDE23F" w14:textId="249AF2B9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200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283D566B" w14:textId="48C4D4F8" w:rsidR="00C6304E" w:rsidRPr="00C12004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2,000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5428FDF1" w14:textId="2F075D7D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6B19CACC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794745BF" w14:textId="7286D982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2020年11月末</w:t>
            </w:r>
          </w:p>
        </w:tc>
        <w:tc>
          <w:tcPr>
            <w:tcW w:w="2055" w:type="dxa"/>
            <w:shd w:val="clear" w:color="auto" w:fill="auto"/>
          </w:tcPr>
          <w:p w14:paraId="3E4BBA55" w14:textId="2A1CC4FA" w:rsidR="00C6304E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210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7A3811C9" w14:textId="407ECBF0" w:rsidR="00C6304E" w:rsidRPr="00C12004" w:rsidRDefault="00961C7D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1,400</w:t>
            </w:r>
            <w:r w:rsidR="00C6304E"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540F5417" w14:textId="55C1FBFC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5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  <w:tr w:rsidR="00C6304E" w:rsidRPr="005E6F31" w14:paraId="33ADE334" w14:textId="77777777" w:rsidTr="00C6304E">
        <w:trPr>
          <w:trHeight w:val="54"/>
        </w:trPr>
        <w:tc>
          <w:tcPr>
            <w:tcW w:w="2055" w:type="dxa"/>
            <w:shd w:val="clear" w:color="auto" w:fill="auto"/>
            <w:vAlign w:val="center"/>
          </w:tcPr>
          <w:p w14:paraId="680B8CB9" w14:textId="4ECD4830" w:rsidR="00C6304E" w:rsidRPr="00FA03E1" w:rsidRDefault="00C6304E" w:rsidP="00C630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FA03E1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2020年12月末</w:t>
            </w:r>
          </w:p>
        </w:tc>
        <w:tc>
          <w:tcPr>
            <w:tcW w:w="2055" w:type="dxa"/>
            <w:shd w:val="clear" w:color="auto" w:fill="auto"/>
          </w:tcPr>
          <w:p w14:paraId="1E22739E" w14:textId="5373DBE1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1</w:t>
            </w:r>
            <w:r w:rsidR="00961C7D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50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5" w:type="dxa"/>
          </w:tcPr>
          <w:p w14:paraId="2ABA4925" w14:textId="451BBFCD" w:rsidR="00C6304E" w:rsidRPr="00C12004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Pr="00C12004"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  <w:t>,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5</w:t>
            </w:r>
            <w:r w:rsidRPr="00C12004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00</w:t>
            </w:r>
            <w:r w:rsidRPr="005E6F31">
              <w:rPr>
                <w:rFonts w:ascii="ＭＳ 明朝" w:hAnsi="ＭＳ 明朝" w:hint="eastAsia"/>
                <w:kern w:val="0"/>
                <w:sz w:val="24"/>
                <w:szCs w:val="24"/>
              </w:rPr>
              <w:t>百万円</w:t>
            </w:r>
          </w:p>
        </w:tc>
        <w:tc>
          <w:tcPr>
            <w:tcW w:w="2056" w:type="dxa"/>
            <w:shd w:val="clear" w:color="auto" w:fill="auto"/>
          </w:tcPr>
          <w:p w14:paraId="4794D4A0" w14:textId="7F57193C" w:rsidR="00C6304E" w:rsidRDefault="00C6304E" w:rsidP="00C630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="00961C7D">
              <w:rPr>
                <w:rFonts w:ascii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％</w:t>
            </w:r>
          </w:p>
        </w:tc>
      </w:tr>
    </w:tbl>
    <w:p w14:paraId="12BDE6E4" w14:textId="7253F157" w:rsidR="0013200F" w:rsidRPr="00A21032" w:rsidRDefault="0013200F" w:rsidP="004C2F45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265703D" w14:textId="64301052" w:rsidR="0013200F" w:rsidRDefault="00C12004" w:rsidP="00C12004">
      <w:pPr>
        <w:ind w:leftChars="100" w:left="210" w:firstLineChars="18" w:firstLine="43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（注意事項）</w:t>
      </w:r>
    </w:p>
    <w:p w14:paraId="5FD6CC72" w14:textId="204942A2" w:rsidR="00C12004" w:rsidRPr="00A21032" w:rsidRDefault="000A5927" w:rsidP="00C12004">
      <w:pPr>
        <w:ind w:leftChars="100" w:left="210" w:firstLineChars="18" w:firstLine="43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C575F">
        <w:rPr>
          <w:rFonts w:ascii="Century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328D3" wp14:editId="34CBFB4C">
                <wp:simplePos x="0" y="0"/>
                <wp:positionH relativeFrom="margin">
                  <wp:align>right</wp:align>
                </wp:positionH>
                <wp:positionV relativeFrom="paragraph">
                  <wp:posOffset>612048</wp:posOffset>
                </wp:positionV>
                <wp:extent cx="4420105" cy="1451872"/>
                <wp:effectExtent l="0" t="209550" r="19050" b="1524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420105" cy="1451872"/>
                        </a:xfrm>
                        <a:prstGeom prst="wedgeRectCallout">
                          <a:avLst>
                            <a:gd name="adj1" fmla="val 33527"/>
                            <a:gd name="adj2" fmla="val 637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ADEE" w14:textId="79A08343" w:rsidR="00961C7D" w:rsidRPr="00DD3B12" w:rsidRDefault="00AB2D4D" w:rsidP="000A592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直近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事業年度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を通じて上記割合が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50%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を超えていないことが分かるように</w:t>
                            </w:r>
                            <w:r w:rsidR="00580BF9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、事業年度の</w:t>
                            </w:r>
                            <w:r w:rsidR="00961C7D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一定時点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における</w:t>
                            </w:r>
                            <w:r w:rsidR="0044376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令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附則</w:t>
                            </w:r>
                            <w:r w:rsidR="00961C7D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第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６項に定める</w:t>
                            </w:r>
                            <w:r w:rsidR="00961C7D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有価証券の価額、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金銭その他</w:t>
                            </w:r>
                            <w:r w:rsidR="00961C7D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の</w:t>
                            </w:r>
                            <w:r w:rsidR="0044376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運用</w:t>
                            </w:r>
                            <w:r w:rsidR="00961C7D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財産の</w:t>
                            </w:r>
                            <w:r w:rsidR="00961C7D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総額及び割合を</w:t>
                            </w:r>
                            <w:r w:rsidR="00DD3B12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記載すること</w:t>
                            </w:r>
                            <w:r w:rsidR="00DD3B12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14:paraId="4785DA9E" w14:textId="4D56E7DB" w:rsidR="000A5927" w:rsidRPr="00676959" w:rsidRDefault="00AB2D4D" w:rsidP="000A592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また、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移行期間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特例業務を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行う期間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を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通して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、上記割合が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50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％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を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超えて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は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ならないことに留意し、当該割合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が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50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％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を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超える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こと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を防止するために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必要かつ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適切な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措置を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講じる</w:t>
                            </w:r>
                            <w:r w:rsidR="000A5927" w:rsidRPr="00DD3B1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こと</w:t>
                            </w:r>
                            <w:r w:rsidR="000A5927" w:rsidRPr="00DD3B12"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328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96.85pt;margin-top:48.2pt;width:348.05pt;height:114.3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mKhwIAAMUEAAAOAAAAZHJzL2Uyb0RvYy54bWysVM1u1DAQviPxDpbvNJv96W6jzVbVliKk&#10;AhWFB/DaTmLwT7C9m21vPXFCQlw49MaFZwCJp6lW4jEYO6FN4YbIwbI9M59nvm8m88OtkmjDrRNG&#10;5zjdG2DENTVM6DLHr1+dPJph5DzRjEijeY4vuMOHi4cP5k2d8aGpjGTcIgDRLmvqHFfe11mSOFpx&#10;RdyeqbkGY2GsIh6OtkyYJQ2gK5kMB4P9pDGW1dZQ7hzcHrdGvIj4RcGpf1EUjnskcwy5+bjauK7C&#10;mizmJCstqStBuzTIP2ShiNDw6C3UMfEEra34C0oJao0zhd+jRiWmKATlsQaoJh38Uc15RWoeawFy&#10;XH1Lk/t/sPT55swiwXIMQmmiQKLd9fXPr592P77sPn67ufqwe//95uozmgWqmtplEHFen9lQrKtP&#10;DX3rkDbLiuiSH1lrmooTBgmmwT+5FxAODkLRqnlmGLxE1t5E1raFVcgaUCcdzAbhi9dAD9pGrS5u&#10;teJbjyhcjseBsAlGFGzpeJLOpsP4JMkCWkivts4/4UahsMlxw1nJX0JHLImUZu3jE2Rz6nwUjnXl&#10;E/YmxahQEvpgQyQajSbDadcnPZ9h32d/NE3bgknWISZ370eqjBTsREgZD7ZcLaVFAJ/jk/h1qbu+&#10;m9SoyfEonU5iqvds7j5EpCwQDqL0IZTwMF5SKNC35TU2fNDosWZx74mQ7R6Cpe5ECzq1evvtahsb&#10;JBYYNFwZdgEqRr1gpmD6gd3K2EuMGpikHLt3a2I5RvKphk6YjocHoJOPh9nsAEJs37DqGYimAJRj&#10;j1G7Xfp2WNe1FWUVGiRyoc0R9E4h/O8ma3PqkodZiVR0cx2GsX+OXnd/n8UvAAAA//8DAFBLAwQU&#10;AAYACAAAACEAg6kY19wAAAAHAQAADwAAAGRycy9kb3ducmV2LnhtbEyPwU7DMBBE70j8g7VIXFBr&#10;twWrDXEqhNTcSQGpNzdekqjxOordNvw9ywmOqxm9eZtvJ9+LC46xC2RgMVcgkOrgOmoMvO93szWI&#10;mCw52wdCA98YYVvc3uQ2c+FKb3ipUiMYQjGzBtqUhkzKWLfobZyHAYmzrzB6m/gcG+lGe2W47+VS&#10;KS297YgXWjvga4v1qTp7A5uH3Yder1RVltNYDqeI8fOAxtzfTS/PIBJO6a8Mv/qsDgU7HcOZXBS9&#10;AX4kMUk/guBUb/QCxNHAavmkQBa5/O9f/AAAAP//AwBQSwECLQAUAAYACAAAACEAtoM4kv4AAADh&#10;AQAAEwAAAAAAAAAAAAAAAAAAAAAAW0NvbnRlbnRfVHlwZXNdLnhtbFBLAQItABQABgAIAAAAIQA4&#10;/SH/1gAAAJQBAAALAAAAAAAAAAAAAAAAAC8BAABfcmVscy8ucmVsc1BLAQItABQABgAIAAAAIQA7&#10;wAmKhwIAAMUEAAAOAAAAAAAAAAAAAAAAAC4CAABkcnMvZTJvRG9jLnhtbFBLAQItABQABgAIAAAA&#10;IQCDqRjX3AAAAAcBAAAPAAAAAAAAAAAAAAAAAOEEAABkcnMvZG93bnJldi54bWxQSwUGAAAAAAQA&#10;BADzAAAA6gUAAAAA&#10;" adj="18042,24562" strokecolor="red" strokeweight=".25pt">
                <v:textbox inset="5.85pt,.7pt,5.85pt,.7pt">
                  <w:txbxContent>
                    <w:p w14:paraId="1A09ADEE" w14:textId="79A08343" w:rsidR="00961C7D" w:rsidRPr="00DD3B12" w:rsidRDefault="00AB2D4D" w:rsidP="000A5927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直近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の</w:t>
                      </w:r>
                      <w:r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事業年度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を通じて上記割合が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50%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を超えていないことが分かるように</w:t>
                      </w:r>
                      <w:r w:rsidR="00580BF9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、事業年度の</w:t>
                      </w:r>
                      <w:r w:rsidR="00961C7D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一定時点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における</w:t>
                      </w:r>
                      <w:r w:rsidR="0044376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令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附則</w:t>
                      </w:r>
                      <w:r w:rsidR="00961C7D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第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６項に定める</w:t>
                      </w:r>
                      <w:r w:rsidR="00961C7D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有価証券の価額、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金銭その他</w:t>
                      </w:r>
                      <w:r w:rsidR="00961C7D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の</w:t>
                      </w:r>
                      <w:r w:rsidR="0044376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運用</w:t>
                      </w:r>
                      <w:r w:rsidR="00961C7D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財産の</w:t>
                      </w:r>
                      <w:r w:rsidR="00961C7D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総額及び割合を</w:t>
                      </w:r>
                      <w:r w:rsidR="00DD3B12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記載すること</w:t>
                      </w:r>
                      <w:r w:rsidR="00DD3B12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。</w:t>
                      </w:r>
                    </w:p>
                    <w:p w14:paraId="4785DA9E" w14:textId="4D56E7DB" w:rsidR="000A5927" w:rsidRPr="00676959" w:rsidRDefault="00AB2D4D" w:rsidP="000A5927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また、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移行期間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特例業務を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行う期間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を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通して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、上記割合が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50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％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を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超えて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は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ならないことに留意し、当該割合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が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50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％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を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超える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こと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を防止するために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必要かつ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適切な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措置を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講じる</w:t>
                      </w:r>
                      <w:r w:rsidR="000A5927" w:rsidRPr="00DD3B12">
                        <w:rPr>
                          <w:rFonts w:ascii="Arial" w:hAnsi="Arial" w:cs="Arial"/>
                          <w:b/>
                          <w:color w:val="FF0000"/>
                        </w:rPr>
                        <w:t>こと</w:t>
                      </w:r>
                      <w:r w:rsidR="000A5927" w:rsidRPr="00DD3B12"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004">
        <w:rPr>
          <w:rFonts w:ascii="ＭＳ 明朝" w:hAnsi="ＭＳ 明朝" w:hint="eastAsia"/>
          <w:color w:val="000000" w:themeColor="text1"/>
          <w:sz w:val="24"/>
          <w:szCs w:val="24"/>
        </w:rPr>
        <w:t xml:space="preserve">　上記割合が50％</w:t>
      </w:r>
      <w:r w:rsidR="005D483C">
        <w:rPr>
          <w:rFonts w:ascii="ＭＳ 明朝" w:hAnsi="ＭＳ 明朝" w:hint="eastAsia"/>
          <w:color w:val="000000" w:themeColor="text1"/>
          <w:sz w:val="24"/>
          <w:szCs w:val="24"/>
        </w:rPr>
        <w:t>超</w:t>
      </w:r>
      <w:r w:rsidR="00443762">
        <w:rPr>
          <w:rFonts w:ascii="ＭＳ 明朝" w:hAnsi="ＭＳ 明朝" w:hint="eastAsia"/>
          <w:color w:val="000000" w:themeColor="text1"/>
          <w:sz w:val="24"/>
          <w:szCs w:val="24"/>
        </w:rPr>
        <w:t>となる</w:t>
      </w:r>
      <w:r w:rsidR="00C12004">
        <w:rPr>
          <w:rFonts w:ascii="ＭＳ 明朝" w:hAnsi="ＭＳ 明朝" w:hint="eastAsia"/>
          <w:color w:val="000000" w:themeColor="text1"/>
          <w:sz w:val="24"/>
          <w:szCs w:val="24"/>
        </w:rPr>
        <w:t>場合には</w:t>
      </w:r>
      <w:r w:rsidR="005D483C">
        <w:rPr>
          <w:rFonts w:ascii="ＭＳ 明朝" w:hAnsi="ＭＳ 明朝" w:hint="eastAsia"/>
          <w:color w:val="000000" w:themeColor="text1"/>
          <w:sz w:val="24"/>
          <w:szCs w:val="24"/>
        </w:rPr>
        <w:t>、移行期間特例業務の要件を満たさないことに留意すること。</w:t>
      </w:r>
    </w:p>
    <w:sectPr w:rsidR="00C12004" w:rsidRPr="00A21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E1FBE" w14:textId="77777777" w:rsidR="00007DF8" w:rsidRDefault="00007DF8" w:rsidP="00CB3770">
      <w:r>
        <w:separator/>
      </w:r>
    </w:p>
  </w:endnote>
  <w:endnote w:type="continuationSeparator" w:id="0">
    <w:p w14:paraId="6BC70390" w14:textId="77777777" w:rsidR="00007DF8" w:rsidRDefault="00007DF8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810D" w14:textId="77777777" w:rsidR="00D62112" w:rsidRDefault="00D621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A35B7" w14:textId="77777777" w:rsidR="00D62112" w:rsidRDefault="00D621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D1DE" w14:textId="77777777" w:rsidR="00D62112" w:rsidRDefault="00D621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0BB4B" w14:textId="77777777" w:rsidR="00007DF8" w:rsidRDefault="00007DF8" w:rsidP="00CB3770">
      <w:r>
        <w:separator/>
      </w:r>
    </w:p>
  </w:footnote>
  <w:footnote w:type="continuationSeparator" w:id="0">
    <w:p w14:paraId="7242BDB2" w14:textId="77777777" w:rsidR="00007DF8" w:rsidRDefault="00007DF8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3A584" w14:textId="77777777" w:rsidR="00D62112" w:rsidRDefault="00D621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BD96" w14:textId="77777777" w:rsidR="00D62112" w:rsidRDefault="00D621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0ABC" w14:textId="77777777" w:rsidR="00D62112" w:rsidRDefault="00D62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00264E"/>
    <w:rsid w:val="00007B7E"/>
    <w:rsid w:val="00007DF8"/>
    <w:rsid w:val="00010993"/>
    <w:rsid w:val="00032C2A"/>
    <w:rsid w:val="000A5927"/>
    <w:rsid w:val="000B348A"/>
    <w:rsid w:val="00111C0B"/>
    <w:rsid w:val="0013200F"/>
    <w:rsid w:val="001843EE"/>
    <w:rsid w:val="002A0752"/>
    <w:rsid w:val="002A6B51"/>
    <w:rsid w:val="002D22D3"/>
    <w:rsid w:val="002D5AF5"/>
    <w:rsid w:val="002E3BA8"/>
    <w:rsid w:val="002E59B3"/>
    <w:rsid w:val="002F35FB"/>
    <w:rsid w:val="00367B7F"/>
    <w:rsid w:val="003A1487"/>
    <w:rsid w:val="00432C62"/>
    <w:rsid w:val="00443762"/>
    <w:rsid w:val="004C2F45"/>
    <w:rsid w:val="004C7D4F"/>
    <w:rsid w:val="00580BF9"/>
    <w:rsid w:val="005D4667"/>
    <w:rsid w:val="005D483C"/>
    <w:rsid w:val="005E6F31"/>
    <w:rsid w:val="00601FB1"/>
    <w:rsid w:val="006245A3"/>
    <w:rsid w:val="00624F87"/>
    <w:rsid w:val="00640E86"/>
    <w:rsid w:val="006414AE"/>
    <w:rsid w:val="007D7672"/>
    <w:rsid w:val="008673BE"/>
    <w:rsid w:val="008E23D0"/>
    <w:rsid w:val="00961C7D"/>
    <w:rsid w:val="009A2FE5"/>
    <w:rsid w:val="009E4C81"/>
    <w:rsid w:val="00A21032"/>
    <w:rsid w:val="00A310CD"/>
    <w:rsid w:val="00A45778"/>
    <w:rsid w:val="00A804EC"/>
    <w:rsid w:val="00A97BB7"/>
    <w:rsid w:val="00AB2D4D"/>
    <w:rsid w:val="00AC23E3"/>
    <w:rsid w:val="00B2607E"/>
    <w:rsid w:val="00B64D54"/>
    <w:rsid w:val="00BD2326"/>
    <w:rsid w:val="00C12004"/>
    <w:rsid w:val="00C312A0"/>
    <w:rsid w:val="00C6304E"/>
    <w:rsid w:val="00CB3770"/>
    <w:rsid w:val="00CB3895"/>
    <w:rsid w:val="00CE6040"/>
    <w:rsid w:val="00CF2BEA"/>
    <w:rsid w:val="00D60748"/>
    <w:rsid w:val="00D62112"/>
    <w:rsid w:val="00DD3B12"/>
    <w:rsid w:val="00E84BE0"/>
    <w:rsid w:val="00F735DE"/>
    <w:rsid w:val="00FA03E1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  <w:style w:type="paragraph" w:styleId="a8">
    <w:name w:val="List Paragraph"/>
    <w:basedOn w:val="a"/>
    <w:uiPriority w:val="34"/>
    <w:qFormat/>
    <w:rsid w:val="00B64D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7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B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2021-11-08T01:04:00Z</dcterms:created>
  <dcterms:modified xsi:type="dcterms:W3CDTF">2021-11-08T01:21:00Z</dcterms:modified>
</cp:coreProperties>
</file>