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9BD7AD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  <w:r w:rsidRPr="00CB3895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3929" wp14:editId="45BD6E4F">
                <wp:simplePos x="0" y="0"/>
                <wp:positionH relativeFrom="margin">
                  <wp:align>left</wp:align>
                </wp:positionH>
                <wp:positionV relativeFrom="paragraph">
                  <wp:posOffset>-332345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F8CC9" w14:textId="3D1D9B6D" w:rsidR="00F735DE" w:rsidRPr="00E84BE0" w:rsidRDefault="00F15D08" w:rsidP="00F735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9A93929" id="正方形/長方形 3" o:spid="_x0000_s1026" style="position:absolute;left:0;text-align:left;margin-left:0;margin-top:-26.15pt;width:86.25pt;height:2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" fillcolor="white [3212]" strokecolor="red" strokeweight="1pt">
                <v:textbox>
                  <w:txbxContent>
                    <w:p w14:paraId="30CF8CC9" w14:textId="3D1D9B6D" w:rsidR="00F735DE" w:rsidRPr="00E84BE0" w:rsidRDefault="00F15D08" w:rsidP="00F735D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DEE5A" w14:textId="3F8EC839" w:rsidR="008673BE" w:rsidRPr="00CE6040" w:rsidRDefault="00E37A6E" w:rsidP="00F735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 xml:space="preserve">Document stating </w:t>
      </w:r>
      <w:r w:rsidR="006E6F7A">
        <w:rPr>
          <w:rFonts w:ascii="Arial" w:hAnsi="Arial" w:cs="Arial"/>
          <w:b/>
          <w:sz w:val="24"/>
          <w:szCs w:val="24"/>
        </w:rPr>
        <w:t>t</w:t>
      </w:r>
      <w:r w:rsidR="006E6F7A" w:rsidRPr="006E6F7A">
        <w:rPr>
          <w:rFonts w:ascii="Arial" w:hAnsi="Arial" w:cs="Arial"/>
          <w:b/>
          <w:sz w:val="24"/>
          <w:szCs w:val="24"/>
        </w:rPr>
        <w:t xml:space="preserve">ype of investor </w:t>
      </w:r>
      <w:r w:rsidR="00A961F8">
        <w:rPr>
          <w:rFonts w:ascii="Arial" w:hAnsi="Arial" w:cs="Arial"/>
          <w:b/>
          <w:sz w:val="24"/>
          <w:szCs w:val="24"/>
        </w:rPr>
        <w:br/>
      </w:r>
      <w:r w:rsidR="006E6F7A" w:rsidRPr="006E6F7A">
        <w:rPr>
          <w:rFonts w:ascii="Arial" w:hAnsi="Arial" w:cs="Arial"/>
          <w:b/>
          <w:sz w:val="24"/>
          <w:szCs w:val="24"/>
        </w:rPr>
        <w:t>who holds or will hold the invested business equity</w:t>
      </w:r>
      <w:r w:rsidR="00666CD2" w:rsidRPr="00666CD2">
        <w:rPr>
          <w:rFonts w:ascii="Arial" w:hAnsi="Arial" w:cs="Arial"/>
          <w:b/>
          <w:sz w:val="24"/>
          <w:szCs w:val="24"/>
        </w:rPr>
        <w:t>, etc.</w:t>
      </w:r>
    </w:p>
    <w:p w14:paraId="46C59795" w14:textId="097F5AF5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</w:p>
    <w:p w14:paraId="2555164F" w14:textId="6944019C" w:rsidR="00F735DE" w:rsidRPr="00E84BE0" w:rsidRDefault="00E37A6E" w:rsidP="00E37A6E">
      <w:pPr>
        <w:wordWrap w:val="0"/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rade name or name</w:t>
      </w:r>
      <w:r w:rsidR="00F735DE" w:rsidRPr="00E84BE0">
        <w:rPr>
          <w:rFonts w:ascii="Arial" w:hAnsi="Arial" w:cs="Arial"/>
          <w:sz w:val="24"/>
          <w:szCs w:val="24"/>
        </w:rPr>
        <w:t xml:space="preserve">: </w:t>
      </w:r>
      <w:r w:rsidR="005D4667" w:rsidRPr="00E84BE0">
        <w:rPr>
          <w:rFonts w:ascii="Arial" w:hAnsi="Arial" w:cs="Arial"/>
          <w:b/>
          <w:color w:val="FF0000"/>
          <w:sz w:val="24"/>
          <w:szCs w:val="24"/>
        </w:rPr>
        <w:t>Kinyu</w:t>
      </w:r>
      <w:r w:rsidR="00F735DE" w:rsidRPr="00E84BE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84BE0">
        <w:rPr>
          <w:rFonts w:ascii="Arial" w:hAnsi="Arial" w:cs="Arial" w:hint="eastAsia"/>
          <w:b/>
          <w:color w:val="FF0000"/>
          <w:sz w:val="24"/>
          <w:szCs w:val="24"/>
        </w:rPr>
        <w:t>Tokurei</w:t>
      </w:r>
      <w:r w:rsidR="00E84BE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735DE" w:rsidRPr="00E84BE0">
        <w:rPr>
          <w:rFonts w:ascii="Arial" w:hAnsi="Arial" w:cs="Arial"/>
          <w:b/>
          <w:color w:val="FF0000"/>
          <w:sz w:val="24"/>
          <w:szCs w:val="24"/>
        </w:rPr>
        <w:t>Co., Ltd.</w:t>
      </w:r>
    </w:p>
    <w:p w14:paraId="4C458CBF" w14:textId="4EB49782" w:rsidR="00F735DE" w:rsidRPr="00E84BE0" w:rsidRDefault="00E37A6E" w:rsidP="00E37A6E">
      <w:pPr>
        <w:wordWrap w:val="0"/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 w:hint="eastAsia"/>
          <w:b/>
          <w:color w:val="FF0000"/>
          <w:sz w:val="24"/>
          <w:szCs w:val="24"/>
        </w:rPr>
        <w:t>A</w:t>
      </w:r>
      <w:r>
        <w:rPr>
          <w:rFonts w:ascii="Arial" w:hAnsi="Arial" w:cs="Arial"/>
          <w:b/>
          <w:color w:val="FF0000"/>
          <w:sz w:val="24"/>
          <w:szCs w:val="24"/>
        </w:rPr>
        <w:t>s of MM/DD/YYYY</w:t>
      </w:r>
    </w:p>
    <w:p w14:paraId="23355022" w14:textId="6B2E8BB2" w:rsidR="006245A3" w:rsidRDefault="006245A3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14:paraId="0B73CA28" w14:textId="6E3FF993" w:rsidR="00B64D54" w:rsidRDefault="000E1EB1" w:rsidP="00B64D54">
      <w:pPr>
        <w:ind w:left="210" w:hangingChars="100" w:hanging="21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ＭＳ ゴシック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7E36D" wp14:editId="178FC4E6">
                <wp:simplePos x="0" y="0"/>
                <wp:positionH relativeFrom="column">
                  <wp:posOffset>4494141</wp:posOffset>
                </wp:positionH>
                <wp:positionV relativeFrom="paragraph">
                  <wp:posOffset>96643</wp:posOffset>
                </wp:positionV>
                <wp:extent cx="1708150" cy="2735580"/>
                <wp:effectExtent l="742950" t="0" r="25400" b="266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08150" cy="2735580"/>
                        </a:xfrm>
                        <a:prstGeom prst="wedgeRectCallout">
                          <a:avLst>
                            <a:gd name="adj1" fmla="val 92332"/>
                            <a:gd name="adj2" fmla="val 16414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98929" w14:textId="714D5DDA" w:rsidR="00B24ADC" w:rsidRPr="00324809" w:rsidRDefault="00B24ADC" w:rsidP="00B24ADC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example, if the invested business equity is to be held by foreign juridical person</w:t>
                            </w:r>
                            <w:r w:rsidR="001050A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</w:t>
                            </w:r>
                            <w:r w:rsidR="00D3112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as defined in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tem 1 of Art</w:t>
                            </w:r>
                            <w:r w:rsidR="002174B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icle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63-8, paragraph (2) of the FIEA as well as Qualified Institutional Investors as defined in </w:t>
                            </w:r>
                            <w:r w:rsidR="00D3112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tem 2 of the same, put a circle </w:t>
                            </w:r>
                            <w:r w:rsidR="00CB35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under both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tem 1 and </w:t>
                            </w:r>
                            <w:r w:rsidR="00CB35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Item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7E36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7" type="#_x0000_t61" style="position:absolute;left:0;text-align:left;margin-left:353.85pt;margin-top:7.6pt;width:134.5pt;height:215.4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" adj="30744,14345" strokecolor="red" strokeweight=".25pt">
                <v:textbox inset="5.85pt,.7pt,5.85pt,.7pt">
                  <w:txbxContent>
                    <w:p w14:paraId="54698929" w14:textId="714D5DDA" w:rsidR="00B24ADC" w:rsidRPr="00324809" w:rsidRDefault="00B24ADC" w:rsidP="00B24ADC">
                      <w:pPr>
                        <w:jc w:val="left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For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example, if the invested business equity is to be held by foreign juridical person</w:t>
                      </w:r>
                      <w:r w:rsidR="001050A0">
                        <w:rPr>
                          <w:rFonts w:ascii="Arial" w:hAnsi="Arial" w:cs="Arial"/>
                          <w:b/>
                          <w:color w:val="FF0000"/>
                        </w:rPr>
                        <w:t>s</w:t>
                      </w:r>
                      <w:r w:rsidR="00D3112C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as defined in I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tem 1 of Art</w:t>
                      </w:r>
                      <w:r w:rsidR="002174BA">
                        <w:rPr>
                          <w:rFonts w:ascii="Arial" w:hAnsi="Arial" w:cs="Arial"/>
                          <w:b/>
                          <w:color w:val="FF0000"/>
                        </w:rPr>
                        <w:t>icle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63-8, paragraph (2) of the FIEA as well as Qualified Institutional Investors as defined in </w:t>
                      </w:r>
                      <w:r w:rsidR="00D3112C">
                        <w:rPr>
                          <w:rFonts w:ascii="Arial" w:hAnsi="Arial" w:cs="Arial"/>
                          <w:b/>
                          <w:color w:val="FF000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tem 2 of the same, put a circle </w:t>
                      </w:r>
                      <w:r w:rsidR="00CB35B6">
                        <w:rPr>
                          <w:rFonts w:ascii="Arial" w:hAnsi="Arial" w:cs="Arial"/>
                          <w:b/>
                          <w:color w:val="FF0000"/>
                        </w:rPr>
                        <w:t>under both I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tem 1 and </w:t>
                      </w:r>
                      <w:r w:rsidR="00CB35B6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Item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7A798A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7A798A" w:rsidRPr="00717DD3">
        <w:rPr>
          <w:rFonts w:ascii="Arial" w:hAnsi="Arial" w:cs="Arial"/>
          <w:color w:val="000000" w:themeColor="text1"/>
          <w:sz w:val="24"/>
          <w:szCs w:val="24"/>
        </w:rPr>
        <w:t xml:space="preserve">Type of </w:t>
      </w:r>
      <w:r w:rsidR="00A11903" w:rsidRPr="00717DD3">
        <w:rPr>
          <w:rFonts w:ascii="Arial" w:hAnsi="Arial" w:cs="Arial"/>
          <w:color w:val="000000" w:themeColor="text1"/>
          <w:sz w:val="24"/>
          <w:szCs w:val="24"/>
        </w:rPr>
        <w:t>investor who holds</w:t>
      </w:r>
      <w:r w:rsidR="00717DD3" w:rsidRPr="00717DD3">
        <w:rPr>
          <w:sz w:val="24"/>
          <w:szCs w:val="24"/>
        </w:rPr>
        <w:t xml:space="preserve"> </w:t>
      </w:r>
      <w:r w:rsidR="00717DD3" w:rsidRPr="00717DD3">
        <w:rPr>
          <w:rFonts w:ascii="Arial" w:hAnsi="Arial" w:cs="Arial" w:hint="cs"/>
          <w:sz w:val="24"/>
          <w:szCs w:val="24"/>
        </w:rPr>
        <w:t xml:space="preserve">or </w:t>
      </w:r>
      <w:r w:rsidR="00717DD3">
        <w:rPr>
          <w:rFonts w:ascii="Arial" w:hAnsi="Arial" w:cs="Arial"/>
          <w:sz w:val="24"/>
          <w:szCs w:val="24"/>
        </w:rPr>
        <w:t xml:space="preserve">will hold </w:t>
      </w:r>
      <w:r w:rsidR="00717DD3" w:rsidRPr="00717DD3">
        <w:rPr>
          <w:rFonts w:ascii="Arial" w:hAnsi="Arial" w:cs="Arial"/>
          <w:color w:val="000000" w:themeColor="text1"/>
          <w:sz w:val="24"/>
          <w:szCs w:val="24"/>
        </w:rPr>
        <w:t>the invested business equity</w:t>
      </w:r>
    </w:p>
    <w:p w14:paraId="4A6EDB88" w14:textId="5DA06B44" w:rsidR="00F15D08" w:rsidRDefault="00F15D08" w:rsidP="00B64D54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795"/>
        <w:gridCol w:w="1796"/>
        <w:gridCol w:w="1796"/>
      </w:tblGrid>
      <w:tr w:rsidR="00CC2234" w:rsidRPr="004C2F45" w14:paraId="4DBD35AE" w14:textId="77777777" w:rsidTr="00A347A6">
        <w:tc>
          <w:tcPr>
            <w:tcW w:w="2693" w:type="dxa"/>
          </w:tcPr>
          <w:p w14:paraId="69429998" w14:textId="6590F960" w:rsidR="00CC2234" w:rsidRDefault="00CC2234" w:rsidP="002B4B0D">
            <w:pPr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CC2234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Names of the </w:t>
            </w:r>
            <w:r w:rsidR="00A347A6" w:rsidRPr="00CC2234">
              <w:rPr>
                <w:rFonts w:ascii="Arial" w:hAnsi="Arial"/>
                <w:color w:val="000000" w:themeColor="text1"/>
                <w:sz w:val="24"/>
                <w:szCs w:val="24"/>
              </w:rPr>
              <w:t>invested business equity</w:t>
            </w:r>
          </w:p>
        </w:tc>
        <w:tc>
          <w:tcPr>
            <w:tcW w:w="1795" w:type="dxa"/>
            <w:vAlign w:val="center"/>
          </w:tcPr>
          <w:p w14:paraId="22421FD4" w14:textId="1EF2F235" w:rsidR="00CC2234" w:rsidRPr="004C2F45" w:rsidRDefault="00CC2234" w:rsidP="00A347A6">
            <w:pPr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hint="eastAsia"/>
                <w:color w:val="000000" w:themeColor="text1"/>
                <w:sz w:val="24"/>
                <w:szCs w:val="24"/>
              </w:rPr>
              <w:t>Item 1</w:t>
            </w:r>
          </w:p>
        </w:tc>
        <w:tc>
          <w:tcPr>
            <w:tcW w:w="1796" w:type="dxa"/>
            <w:vAlign w:val="center"/>
          </w:tcPr>
          <w:p w14:paraId="6F401BC6" w14:textId="1AEB5BD1" w:rsidR="00CC2234" w:rsidRPr="004C2F45" w:rsidRDefault="00CC2234" w:rsidP="00A347A6">
            <w:pPr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hint="eastAsia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Arial" w:hAnsi="Arial"/>
                <w:color w:val="000000" w:themeColor="text1"/>
                <w:sz w:val="24"/>
                <w:szCs w:val="24"/>
              </w:rPr>
              <w:t>tem 2</w:t>
            </w:r>
          </w:p>
        </w:tc>
        <w:tc>
          <w:tcPr>
            <w:tcW w:w="1796" w:type="dxa"/>
            <w:vAlign w:val="center"/>
          </w:tcPr>
          <w:p w14:paraId="209E01B1" w14:textId="4EC48323" w:rsidR="00CC2234" w:rsidRPr="004C2F45" w:rsidRDefault="00CC2234" w:rsidP="00A347A6">
            <w:pPr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hint="eastAsia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Arial" w:hAnsi="Arial"/>
                <w:color w:val="000000" w:themeColor="text1"/>
                <w:sz w:val="24"/>
                <w:szCs w:val="24"/>
              </w:rPr>
              <w:t>tem 3</w:t>
            </w:r>
          </w:p>
        </w:tc>
      </w:tr>
      <w:tr w:rsidR="00A347A6" w:rsidRPr="004C2F45" w14:paraId="7BF4BD42" w14:textId="77777777" w:rsidTr="00A347A6">
        <w:tc>
          <w:tcPr>
            <w:tcW w:w="2693" w:type="dxa"/>
          </w:tcPr>
          <w:p w14:paraId="73876911" w14:textId="3E8E710B" w:rsidR="00A347A6" w:rsidRPr="00A347A6" w:rsidRDefault="00A347A6" w:rsidP="00A347A6">
            <w:pPr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hint="eastAsia"/>
                <w:b/>
                <w:color w:val="FF0000"/>
                <w:sz w:val="24"/>
                <w:szCs w:val="24"/>
              </w:rPr>
              <w:t>ABCD</w:t>
            </w:r>
            <w:r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 Investment Limited Partnership</w:t>
            </w:r>
          </w:p>
        </w:tc>
        <w:tc>
          <w:tcPr>
            <w:tcW w:w="1795" w:type="dxa"/>
            <w:vAlign w:val="center"/>
          </w:tcPr>
          <w:p w14:paraId="2CD6B101" w14:textId="590980E5" w:rsidR="00A347A6" w:rsidRPr="00A347A6" w:rsidRDefault="00A347A6" w:rsidP="00A347A6">
            <w:pPr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A347A6">
              <w:rPr>
                <w:rFonts w:ascii="Arial" w:hAnsi="Arial" w:hint="eastAsia"/>
                <w:b/>
                <w:color w:val="FF0000"/>
                <w:sz w:val="24"/>
                <w:szCs w:val="24"/>
              </w:rPr>
              <w:t>〇</w:t>
            </w:r>
          </w:p>
        </w:tc>
        <w:tc>
          <w:tcPr>
            <w:tcW w:w="1796" w:type="dxa"/>
            <w:vAlign w:val="center"/>
          </w:tcPr>
          <w:p w14:paraId="435148B5" w14:textId="39A2FD00" w:rsidR="00A347A6" w:rsidRDefault="00A347A6" w:rsidP="00A347A6">
            <w:pPr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A347A6">
              <w:rPr>
                <w:rFonts w:ascii="Arial" w:hAnsi="Arial" w:hint="eastAsia"/>
                <w:b/>
                <w:color w:val="FF0000"/>
                <w:sz w:val="24"/>
                <w:szCs w:val="24"/>
              </w:rPr>
              <w:t>〇</w:t>
            </w:r>
          </w:p>
        </w:tc>
        <w:tc>
          <w:tcPr>
            <w:tcW w:w="1796" w:type="dxa"/>
            <w:vAlign w:val="center"/>
          </w:tcPr>
          <w:p w14:paraId="205F1D53" w14:textId="4CCAE018" w:rsidR="00A347A6" w:rsidRDefault="00A347A6" w:rsidP="00A347A6">
            <w:pPr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</w:tr>
      <w:tr w:rsidR="00AC0CCD" w:rsidRPr="004C2F45" w14:paraId="712CE995" w14:textId="77777777" w:rsidTr="00A347A6">
        <w:tc>
          <w:tcPr>
            <w:tcW w:w="2693" w:type="dxa"/>
          </w:tcPr>
          <w:p w14:paraId="23EAC284" w14:textId="024033F0" w:rsidR="00AC0CCD" w:rsidRDefault="00AC0CCD" w:rsidP="00A347A6">
            <w:pPr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hint="eastAsia"/>
                <w:b/>
                <w:color w:val="FF0000"/>
                <w:sz w:val="24"/>
                <w:szCs w:val="24"/>
              </w:rPr>
              <w:t>EFGH</w:t>
            </w:r>
            <w:r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 Investment Limited Partnership</w:t>
            </w:r>
          </w:p>
        </w:tc>
        <w:tc>
          <w:tcPr>
            <w:tcW w:w="1795" w:type="dxa"/>
            <w:vAlign w:val="center"/>
          </w:tcPr>
          <w:p w14:paraId="0034F715" w14:textId="48DC350D" w:rsidR="00AC0CCD" w:rsidRPr="00A347A6" w:rsidRDefault="00AC0CCD" w:rsidP="00A347A6">
            <w:pPr>
              <w:jc w:val="center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AC0CCD">
              <w:rPr>
                <w:rFonts w:ascii="Arial" w:hAnsi="Arial" w:hint="eastAsia"/>
                <w:b/>
                <w:color w:val="FF0000"/>
                <w:sz w:val="24"/>
                <w:szCs w:val="24"/>
              </w:rPr>
              <w:t>○</w:t>
            </w:r>
          </w:p>
        </w:tc>
        <w:tc>
          <w:tcPr>
            <w:tcW w:w="1796" w:type="dxa"/>
            <w:vAlign w:val="center"/>
          </w:tcPr>
          <w:p w14:paraId="0AF78BCB" w14:textId="77777777" w:rsidR="00AC0CCD" w:rsidRPr="00A347A6" w:rsidRDefault="00AC0CCD" w:rsidP="00A347A6">
            <w:pPr>
              <w:jc w:val="center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55BA8FD6" w14:textId="77777777" w:rsidR="00AC0CCD" w:rsidRDefault="00AC0CCD" w:rsidP="00A347A6">
            <w:pPr>
              <w:jc w:val="center"/>
              <w:rPr>
                <w:rFonts w:ascii="Arial" w:eastAsia="ＭＳ ゴシック" w:hAnsi="Arial" w:cs="Arial"/>
                <w:bCs/>
                <w:iCs/>
                <w:noProof/>
              </w:rPr>
            </w:pPr>
          </w:p>
        </w:tc>
      </w:tr>
    </w:tbl>
    <w:p w14:paraId="07646255" w14:textId="40834F0C" w:rsidR="00F15D08" w:rsidRPr="00F15D08" w:rsidRDefault="00F15D08" w:rsidP="00B64D54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　</w:t>
      </w:r>
      <w:r>
        <w:rPr>
          <w:rFonts w:ascii="Arial" w:hAnsi="Arial" w:cs="Arial" w:hint="eastAsia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>Note)</w:t>
      </w:r>
    </w:p>
    <w:p w14:paraId="3178145F" w14:textId="4C921CF8" w:rsidR="009A2FE5" w:rsidRPr="007A798A" w:rsidRDefault="00B64D54" w:rsidP="00F15D08">
      <w:pPr>
        <w:ind w:left="240" w:hangingChars="100" w:hanging="240"/>
        <w:jc w:val="left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　</w:t>
      </w:r>
      <w:r w:rsidR="009A2FE5">
        <w:rPr>
          <w:rFonts w:ascii="Century" w:hAnsi="Century" w:hint="eastAsia"/>
          <w:color w:val="000000" w:themeColor="text1"/>
          <w:sz w:val="24"/>
          <w:szCs w:val="24"/>
        </w:rPr>
        <w:t xml:space="preserve">　</w:t>
      </w:r>
      <w:r w:rsidR="00F15D08">
        <w:rPr>
          <w:rFonts w:ascii="Arial" w:hAnsi="Arial"/>
          <w:color w:val="000000" w:themeColor="text1"/>
          <w:sz w:val="24"/>
          <w:szCs w:val="24"/>
        </w:rPr>
        <w:t>Put a circle (“</w:t>
      </w:r>
      <w:r w:rsidR="00F15D08">
        <w:rPr>
          <w:rFonts w:ascii="Arial" w:hAnsi="Arial" w:hint="eastAsia"/>
          <w:color w:val="000000" w:themeColor="text1"/>
          <w:sz w:val="24"/>
          <w:szCs w:val="24"/>
        </w:rPr>
        <w:t>○</w:t>
      </w:r>
      <w:r w:rsidR="00F15D08">
        <w:rPr>
          <w:rFonts w:ascii="Arial" w:hAnsi="Arial"/>
          <w:color w:val="000000" w:themeColor="text1"/>
          <w:sz w:val="24"/>
          <w:szCs w:val="24"/>
        </w:rPr>
        <w:t xml:space="preserve">”) in the </w:t>
      </w:r>
      <w:r w:rsidR="00255ED5">
        <w:rPr>
          <w:rFonts w:ascii="Arial" w:hAnsi="Arial"/>
          <w:color w:val="000000" w:themeColor="text1"/>
          <w:sz w:val="24"/>
          <w:szCs w:val="24"/>
        </w:rPr>
        <w:t xml:space="preserve">applicable </w:t>
      </w:r>
      <w:r w:rsidR="00F15D08">
        <w:rPr>
          <w:rFonts w:ascii="Arial" w:hAnsi="Arial"/>
          <w:color w:val="000000" w:themeColor="text1"/>
          <w:sz w:val="24"/>
          <w:szCs w:val="24"/>
        </w:rPr>
        <w:t xml:space="preserve">column </w:t>
      </w:r>
      <w:r w:rsidR="00255ED5">
        <w:rPr>
          <w:rFonts w:ascii="Arial" w:hAnsi="Arial"/>
          <w:color w:val="000000" w:themeColor="text1"/>
          <w:sz w:val="24"/>
          <w:szCs w:val="24"/>
        </w:rPr>
        <w:t>depending on which</w:t>
      </w:r>
      <w:r w:rsidR="007A798A">
        <w:rPr>
          <w:rFonts w:ascii="Arial" w:hAnsi="Arial"/>
          <w:color w:val="000000" w:themeColor="text1"/>
          <w:sz w:val="24"/>
          <w:szCs w:val="24"/>
        </w:rPr>
        <w:t xml:space="preserve"> type of investor as defined in </w:t>
      </w:r>
      <w:r w:rsidR="00B24ADC">
        <w:rPr>
          <w:rFonts w:ascii="Arial" w:hAnsi="Arial"/>
          <w:color w:val="000000" w:themeColor="text1"/>
          <w:sz w:val="24"/>
          <w:szCs w:val="24"/>
        </w:rPr>
        <w:t>each</w:t>
      </w:r>
      <w:r w:rsidR="007A798A">
        <w:rPr>
          <w:rFonts w:ascii="Arial" w:hAnsi="Arial"/>
          <w:color w:val="000000" w:themeColor="text1"/>
          <w:sz w:val="24"/>
          <w:szCs w:val="24"/>
        </w:rPr>
        <w:t xml:space="preserve"> item of Article 63-8</w:t>
      </w:r>
      <w:r w:rsidR="00B24ADC">
        <w:rPr>
          <w:rFonts w:ascii="Arial" w:hAnsi="Arial"/>
          <w:color w:val="000000" w:themeColor="text1"/>
          <w:sz w:val="24"/>
          <w:szCs w:val="24"/>
        </w:rPr>
        <w:t>,</w:t>
      </w:r>
      <w:r w:rsidR="007A798A">
        <w:rPr>
          <w:rFonts w:ascii="Arial" w:hAnsi="Arial"/>
          <w:color w:val="000000" w:themeColor="text1"/>
          <w:sz w:val="24"/>
          <w:szCs w:val="24"/>
        </w:rPr>
        <w:t xml:space="preserve"> paragraph (2) of Financial Instruments Exchange Act</w:t>
      </w:r>
      <w:r w:rsidR="00B24ADC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C33163">
        <w:rPr>
          <w:rFonts w:ascii="Arial" w:hAnsi="Arial"/>
          <w:color w:val="000000" w:themeColor="text1"/>
          <w:sz w:val="24"/>
          <w:szCs w:val="24"/>
        </w:rPr>
        <w:t xml:space="preserve">(“FIEA”) </w:t>
      </w:r>
      <w:r w:rsidR="00B24ADC">
        <w:rPr>
          <w:rFonts w:ascii="Arial" w:hAnsi="Arial"/>
          <w:color w:val="000000" w:themeColor="text1"/>
          <w:sz w:val="24"/>
          <w:szCs w:val="24"/>
        </w:rPr>
        <w:t>holds the invested business equity</w:t>
      </w:r>
      <w:r w:rsidR="007A798A">
        <w:rPr>
          <w:rFonts w:ascii="Arial" w:hAnsi="Arial"/>
          <w:color w:val="000000" w:themeColor="text1"/>
          <w:sz w:val="24"/>
          <w:szCs w:val="24"/>
        </w:rPr>
        <w:t xml:space="preserve">. </w:t>
      </w:r>
    </w:p>
    <w:p w14:paraId="382832A9" w14:textId="444D29CD" w:rsidR="009A2FE5" w:rsidRDefault="009A2FE5" w:rsidP="00F735DE">
      <w:pPr>
        <w:jc w:val="left"/>
        <w:rPr>
          <w:rFonts w:ascii="Century" w:hAnsi="Century"/>
          <w:color w:val="000000" w:themeColor="text1"/>
          <w:sz w:val="24"/>
          <w:szCs w:val="24"/>
        </w:rPr>
      </w:pPr>
    </w:p>
    <w:p w14:paraId="43126DC3" w14:textId="28449113" w:rsidR="001050A0" w:rsidRDefault="001050A0" w:rsidP="00F735DE">
      <w:pPr>
        <w:jc w:val="left"/>
        <w:rPr>
          <w:rFonts w:ascii="Century" w:hAnsi="Century"/>
          <w:color w:val="000000" w:themeColor="text1"/>
          <w:sz w:val="24"/>
          <w:szCs w:val="24"/>
        </w:rPr>
      </w:pPr>
    </w:p>
    <w:p w14:paraId="1FBD4352" w14:textId="30D6033B" w:rsidR="009A2FE5" w:rsidRDefault="00700F41" w:rsidP="00700F41">
      <w:pPr>
        <w:ind w:left="240" w:hangingChars="100" w:hanging="240"/>
        <w:jc w:val="left"/>
        <w:rPr>
          <w:rFonts w:ascii="Century" w:hAnsi="Century"/>
          <w:color w:val="000000" w:themeColor="text1"/>
          <w:sz w:val="24"/>
          <w:szCs w:val="24"/>
        </w:rPr>
      </w:pPr>
      <w:r w:rsidRPr="00700F41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1050A0">
        <w:rPr>
          <w:rFonts w:ascii="Arial" w:hAnsi="Arial" w:cs="Arial" w:hint="eastAsia"/>
          <w:color w:val="000000" w:themeColor="text1"/>
          <w:sz w:val="24"/>
          <w:szCs w:val="24"/>
        </w:rPr>
        <w:t>T</w:t>
      </w:r>
      <w:r w:rsidRPr="00700F41">
        <w:rPr>
          <w:rFonts w:ascii="Arial" w:hAnsi="Arial" w:cs="Arial"/>
          <w:color w:val="000000" w:themeColor="text1"/>
          <w:sz w:val="24"/>
          <w:szCs w:val="24"/>
        </w:rPr>
        <w:t>otal amount of money or other properties to be invested or contributed by</w:t>
      </w:r>
      <w:r w:rsidRPr="00700F41">
        <w:rPr>
          <w:rFonts w:ascii="Arial" w:hAnsi="Arial" w:cs="Arial"/>
        </w:rPr>
        <w:t xml:space="preserve"> </w:t>
      </w:r>
      <w:r w:rsidRPr="00700F41">
        <w:rPr>
          <w:rFonts w:ascii="Arial" w:hAnsi="Arial" w:cs="Arial"/>
          <w:sz w:val="24"/>
          <w:szCs w:val="24"/>
        </w:rPr>
        <w:t xml:space="preserve">residents and </w:t>
      </w:r>
      <w:r w:rsidRPr="00700F41">
        <w:rPr>
          <w:rFonts w:ascii="Arial" w:hAnsi="Arial" w:cs="Arial"/>
          <w:color w:val="000000" w:themeColor="text1"/>
          <w:sz w:val="24"/>
          <w:szCs w:val="24"/>
        </w:rPr>
        <w:t>non-residents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BD7E5BA" w14:textId="77777777" w:rsidR="009A2FE5" w:rsidRDefault="009A2FE5" w:rsidP="00367B7F">
      <w:pPr>
        <w:ind w:left="240" w:hangingChars="100" w:hanging="240"/>
        <w:jc w:val="left"/>
        <w:rPr>
          <w:rFonts w:ascii="Century" w:hAnsi="Century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2626"/>
        <w:gridCol w:w="2792"/>
        <w:gridCol w:w="2793"/>
      </w:tblGrid>
      <w:tr w:rsidR="00A347A6" w14:paraId="7940A8FF" w14:textId="77777777" w:rsidTr="00A347A6">
        <w:tc>
          <w:tcPr>
            <w:tcW w:w="2626" w:type="dxa"/>
            <w:vAlign w:val="center"/>
          </w:tcPr>
          <w:p w14:paraId="7E6E257D" w14:textId="57FCD1F5" w:rsidR="00A347A6" w:rsidRPr="00700F41" w:rsidRDefault="00A347A6" w:rsidP="002B4B0D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234">
              <w:rPr>
                <w:rFonts w:ascii="Arial" w:hAnsi="Arial"/>
                <w:color w:val="000000" w:themeColor="text1"/>
                <w:sz w:val="24"/>
                <w:szCs w:val="24"/>
              </w:rPr>
              <w:t>Names of the invested business equity</w:t>
            </w:r>
          </w:p>
        </w:tc>
        <w:tc>
          <w:tcPr>
            <w:tcW w:w="2792" w:type="dxa"/>
          </w:tcPr>
          <w:p w14:paraId="75553666" w14:textId="418BFBCB" w:rsidR="00A347A6" w:rsidRDefault="00A347A6" w:rsidP="002B4B0D">
            <w:pPr>
              <w:jc w:val="left"/>
              <w:rPr>
                <w:rFonts w:ascii="Century" w:hAnsi="Century"/>
                <w:color w:val="000000" w:themeColor="text1"/>
                <w:sz w:val="24"/>
                <w:szCs w:val="24"/>
              </w:rPr>
            </w:pPr>
            <w:r w:rsidRPr="00700F41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amount of money or other properties to be invested or contributed by</w:t>
            </w:r>
            <w:r w:rsidRPr="00700F41">
              <w:rPr>
                <w:rFonts w:ascii="Arial" w:hAnsi="Arial" w:cs="Arial"/>
              </w:rPr>
              <w:t xml:space="preserve"> </w:t>
            </w:r>
            <w:r w:rsidRPr="00700F41">
              <w:rPr>
                <w:rFonts w:ascii="Arial" w:hAnsi="Arial" w:cs="Arial"/>
                <w:sz w:val="24"/>
                <w:szCs w:val="24"/>
              </w:rPr>
              <w:t>residents</w:t>
            </w:r>
            <w:r w:rsidR="00913E4D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  <w:tc>
          <w:tcPr>
            <w:tcW w:w="2793" w:type="dxa"/>
          </w:tcPr>
          <w:p w14:paraId="6114E276" w14:textId="367839F6" w:rsidR="00A347A6" w:rsidRPr="00E23563" w:rsidRDefault="00A347A6" w:rsidP="002B4B0D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0F41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amount of money or other properties to be invested or contributed by</w:t>
            </w:r>
            <w:r w:rsidRPr="00700F41">
              <w:rPr>
                <w:rFonts w:ascii="Arial" w:hAnsi="Arial" w:cs="Arial"/>
              </w:rPr>
              <w:t xml:space="preserve"> </w:t>
            </w:r>
            <w:r w:rsidRPr="00700F41">
              <w:rPr>
                <w:rFonts w:ascii="Arial" w:hAnsi="Arial" w:cs="Arial"/>
                <w:color w:val="000000" w:themeColor="text1"/>
                <w:sz w:val="24"/>
                <w:szCs w:val="24"/>
              </w:rPr>
              <w:t>non-residents</w:t>
            </w:r>
            <w:r w:rsidR="00913E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(B)</w:t>
            </w:r>
          </w:p>
        </w:tc>
      </w:tr>
      <w:tr w:rsidR="00A347A6" w14:paraId="5FCCE1E8" w14:textId="77777777" w:rsidTr="00A347A6">
        <w:tc>
          <w:tcPr>
            <w:tcW w:w="2626" w:type="dxa"/>
          </w:tcPr>
          <w:p w14:paraId="594556B8" w14:textId="71313655" w:rsidR="00A347A6" w:rsidRPr="00700F41" w:rsidRDefault="00A347A6" w:rsidP="009A2FE5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hint="eastAsia"/>
                <w:b/>
                <w:color w:val="FF0000"/>
                <w:sz w:val="24"/>
                <w:szCs w:val="24"/>
              </w:rPr>
              <w:t>ABCD</w:t>
            </w:r>
            <w:r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 Investment Limited Partnership</w:t>
            </w:r>
          </w:p>
        </w:tc>
        <w:tc>
          <w:tcPr>
            <w:tcW w:w="2792" w:type="dxa"/>
          </w:tcPr>
          <w:p w14:paraId="40A04090" w14:textId="30A8DFD5" w:rsidR="00A347A6" w:rsidRDefault="00A347A6" w:rsidP="00A347A6">
            <w:pPr>
              <w:wordWrap w:val="0"/>
              <w:jc w:val="right"/>
              <w:rPr>
                <w:rFonts w:ascii="Century" w:hAnsi="Century"/>
                <w:color w:val="000000" w:themeColor="text1"/>
                <w:sz w:val="24"/>
                <w:szCs w:val="24"/>
              </w:rPr>
            </w:pPr>
            <w:r w:rsidRPr="00A347A6">
              <w:rPr>
                <w:rFonts w:ascii="Arial" w:hAnsi="Arial" w:cs="Arial" w:hint="eastAsia"/>
                <w:b/>
                <w:color w:val="FF0000"/>
                <w:sz w:val="24"/>
                <w:szCs w:val="24"/>
              </w:rPr>
              <w:t>25,000,000</w:t>
            </w: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E23563">
              <w:rPr>
                <w:rFonts w:ascii="Arial" w:hAnsi="Arial" w:cs="Arial"/>
                <w:color w:val="000000" w:themeColor="text1"/>
                <w:sz w:val="24"/>
                <w:szCs w:val="24"/>
              </w:rPr>
              <w:t>yen</w:t>
            </w:r>
          </w:p>
        </w:tc>
        <w:tc>
          <w:tcPr>
            <w:tcW w:w="2793" w:type="dxa"/>
          </w:tcPr>
          <w:p w14:paraId="5ED9ACF3" w14:textId="3803E981" w:rsidR="00A347A6" w:rsidRDefault="00A347A6" w:rsidP="00A347A6">
            <w:pPr>
              <w:jc w:val="right"/>
              <w:rPr>
                <w:rFonts w:ascii="Century" w:hAnsi="Century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7</w:t>
            </w:r>
            <w:r w:rsidRPr="00A347A6">
              <w:rPr>
                <w:rFonts w:ascii="Arial" w:hAnsi="Arial" w:cs="Arial" w:hint="eastAsia"/>
                <w:b/>
                <w:color w:val="FF0000"/>
                <w:sz w:val="24"/>
                <w:szCs w:val="24"/>
              </w:rPr>
              <w:t>5,000,000</w:t>
            </w:r>
            <w:r>
              <w:rPr>
                <w:rFonts w:ascii="Arial" w:hAnsi="Arial" w:cs="Arial" w:hint="eastAsia"/>
                <w:color w:val="FF0000"/>
                <w:sz w:val="24"/>
                <w:szCs w:val="24"/>
              </w:rPr>
              <w:t xml:space="preserve"> </w:t>
            </w:r>
            <w:r w:rsidRPr="00E23563">
              <w:rPr>
                <w:rFonts w:ascii="Arial" w:hAnsi="Arial" w:cs="Arial"/>
                <w:color w:val="000000" w:themeColor="text1"/>
                <w:sz w:val="24"/>
                <w:szCs w:val="24"/>
              </w:rPr>
              <w:t>yen</w:t>
            </w:r>
          </w:p>
        </w:tc>
      </w:tr>
      <w:tr w:rsidR="00AC0CCD" w14:paraId="0BF1A574" w14:textId="77777777" w:rsidTr="00A347A6">
        <w:tc>
          <w:tcPr>
            <w:tcW w:w="2626" w:type="dxa"/>
          </w:tcPr>
          <w:p w14:paraId="1335557B" w14:textId="5FD82CE8" w:rsidR="00AC0CCD" w:rsidRDefault="00AC0CCD" w:rsidP="009A2FE5">
            <w:pPr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hint="eastAsia"/>
                <w:b/>
                <w:color w:val="FF0000"/>
                <w:sz w:val="24"/>
                <w:szCs w:val="24"/>
              </w:rPr>
              <w:t>EFGH</w:t>
            </w:r>
            <w:r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 Investment Limited Partnership</w:t>
            </w:r>
          </w:p>
        </w:tc>
        <w:tc>
          <w:tcPr>
            <w:tcW w:w="2792" w:type="dxa"/>
          </w:tcPr>
          <w:p w14:paraId="001D1359" w14:textId="0129CE1E" w:rsidR="00AC0CCD" w:rsidRPr="00A347A6" w:rsidRDefault="00AC0CCD" w:rsidP="00A347A6">
            <w:pPr>
              <w:wordWrap w:val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FF0000"/>
                <w:sz w:val="24"/>
                <w:szCs w:val="24"/>
              </w:rPr>
              <w:t>N/A</w:t>
            </w:r>
          </w:p>
        </w:tc>
        <w:tc>
          <w:tcPr>
            <w:tcW w:w="2793" w:type="dxa"/>
          </w:tcPr>
          <w:p w14:paraId="767BF1A1" w14:textId="77777777" w:rsidR="00AC0CCD" w:rsidRDefault="00AC0CCD" w:rsidP="00A347A6">
            <w:pPr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14:paraId="434C97BA" w14:textId="77777777" w:rsidR="00AC0CCD" w:rsidRPr="00F15D08" w:rsidRDefault="00AC0CCD" w:rsidP="00F35E6D">
      <w:pPr>
        <w:ind w:left="24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>Note)</w:t>
      </w:r>
    </w:p>
    <w:p w14:paraId="528991F1" w14:textId="440F3C0A" w:rsidR="009A2FE5" w:rsidRPr="009A2FE5" w:rsidRDefault="00AC0CCD" w:rsidP="00F35E6D">
      <w:pPr>
        <w:ind w:left="240" w:hangingChars="100" w:hanging="240"/>
        <w:jc w:val="left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　</w:t>
      </w:r>
      <w:r>
        <w:rPr>
          <w:rFonts w:ascii="Century" w:hAnsi="Century" w:hint="eastAsia"/>
          <w:color w:val="000000" w:themeColor="text1"/>
          <w:sz w:val="24"/>
          <w:szCs w:val="24"/>
        </w:rPr>
        <w:t xml:space="preserve">　</w:t>
      </w:r>
      <w:r w:rsidR="00913E4D">
        <w:rPr>
          <w:rFonts w:ascii="Arial" w:hAnsi="Arial" w:cs="Arial" w:hint="cs"/>
          <w:color w:val="000000" w:themeColor="text1"/>
          <w:sz w:val="24"/>
          <w:szCs w:val="24"/>
        </w:rPr>
        <w:t xml:space="preserve">Note that </w:t>
      </w:r>
      <w:r w:rsidR="006E6F7A">
        <w:rPr>
          <w:rFonts w:ascii="Arial" w:hAnsi="Arial" w:cs="Arial"/>
          <w:color w:val="000000" w:themeColor="text1"/>
          <w:sz w:val="24"/>
          <w:szCs w:val="24"/>
        </w:rPr>
        <w:t>if the amount of (A) is greater than or equal to that of (B)</w:t>
      </w:r>
      <w:r w:rsidR="00913E4D" w:rsidRPr="00913E4D">
        <w:rPr>
          <w:rFonts w:ascii="Arial" w:hAnsi="Arial" w:cs="Arial"/>
          <w:color w:val="000000" w:themeColor="text1"/>
          <w:sz w:val="24"/>
          <w:szCs w:val="24"/>
        </w:rPr>
        <w:t xml:space="preserve">, the fund does not meet the requirements under </w:t>
      </w:r>
      <w:r w:rsidR="00913E4D">
        <w:rPr>
          <w:rFonts w:ascii="Arial" w:hAnsi="Arial" w:cs="Arial"/>
          <w:color w:val="000000" w:themeColor="text1"/>
          <w:sz w:val="24"/>
          <w:szCs w:val="24"/>
        </w:rPr>
        <w:t>SPBFI operation</w:t>
      </w:r>
      <w:r w:rsidR="00913E4D" w:rsidRPr="00913E4D">
        <w:rPr>
          <w:rFonts w:ascii="Arial" w:hAnsi="Arial" w:cs="Arial"/>
          <w:color w:val="000000" w:themeColor="text1"/>
          <w:sz w:val="24"/>
          <w:szCs w:val="24"/>
        </w:rPr>
        <w:t>.</w:t>
      </w:r>
      <w:r w:rsidR="00913E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3E4D">
        <w:rPr>
          <w:rFonts w:ascii="Arial" w:hAnsi="Arial"/>
          <w:color w:val="000000" w:themeColor="text1"/>
          <w:sz w:val="24"/>
          <w:szCs w:val="24"/>
        </w:rPr>
        <w:t xml:space="preserve">If no invested business equity is to be held by residents, it is not required to fill in the above </w:t>
      </w:r>
      <w:r w:rsidR="00913E4D">
        <w:rPr>
          <w:rFonts w:ascii="Arial" w:hAnsi="Arial"/>
          <w:color w:val="000000" w:themeColor="text1"/>
          <w:sz w:val="24"/>
          <w:szCs w:val="24"/>
        </w:rPr>
        <w:lastRenderedPageBreak/>
        <w:t>column for the relevant fund.</w:t>
      </w:r>
    </w:p>
    <w:p w14:paraId="38028A9A" w14:textId="5939D7C0" w:rsidR="009A2FE5" w:rsidRDefault="009A2FE5" w:rsidP="009A2FE5">
      <w:pPr>
        <w:jc w:val="left"/>
        <w:rPr>
          <w:rFonts w:ascii="Century" w:hAnsi="Century"/>
          <w:color w:val="000000" w:themeColor="text1"/>
          <w:sz w:val="24"/>
          <w:szCs w:val="24"/>
        </w:rPr>
      </w:pPr>
    </w:p>
    <w:p w14:paraId="1B16D7F7" w14:textId="77777777" w:rsidR="002174BA" w:rsidRDefault="002174BA" w:rsidP="009A2FE5">
      <w:pPr>
        <w:jc w:val="left"/>
        <w:rPr>
          <w:rFonts w:ascii="Century" w:hAnsi="Century"/>
          <w:color w:val="000000" w:themeColor="text1"/>
          <w:sz w:val="24"/>
          <w:szCs w:val="24"/>
        </w:rPr>
      </w:pPr>
    </w:p>
    <w:p w14:paraId="5E123A3F" w14:textId="71758A5A" w:rsidR="00367B7F" w:rsidRDefault="00E23563" w:rsidP="00367B7F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102F5">
        <w:rPr>
          <w:rFonts w:ascii="Arial" w:hAnsi="Arial" w:cs="Arial"/>
          <w:color w:val="000000" w:themeColor="text1"/>
          <w:sz w:val="24"/>
          <w:szCs w:val="24"/>
        </w:rPr>
        <w:t>3. In cases where there is any investor prescribed in Article 246-10</w:t>
      </w:r>
      <w:r w:rsidR="00642B9D">
        <w:rPr>
          <w:rFonts w:ascii="Arial" w:hAnsi="Arial" w:cs="Arial"/>
          <w:color w:val="000000" w:themeColor="text1"/>
          <w:sz w:val="24"/>
          <w:szCs w:val="24"/>
        </w:rPr>
        <w:t>,</w:t>
      </w:r>
      <w:r w:rsidRPr="009102F5">
        <w:rPr>
          <w:rFonts w:ascii="Arial" w:hAnsi="Arial" w:cs="Arial"/>
          <w:color w:val="000000" w:themeColor="text1"/>
          <w:sz w:val="24"/>
          <w:szCs w:val="24"/>
        </w:rPr>
        <w:t xml:space="preserve"> paragraph (1)</w:t>
      </w:r>
      <w:r w:rsidR="00642B9D">
        <w:rPr>
          <w:rFonts w:ascii="Arial" w:hAnsi="Arial" w:cs="Arial"/>
          <w:color w:val="000000" w:themeColor="text1"/>
          <w:sz w:val="24"/>
          <w:szCs w:val="24"/>
        </w:rPr>
        <w:t>,</w:t>
      </w:r>
      <w:r w:rsidRPr="009102F5">
        <w:rPr>
          <w:rFonts w:ascii="Arial" w:hAnsi="Arial" w:cs="Arial"/>
          <w:color w:val="000000" w:themeColor="text1"/>
          <w:sz w:val="24"/>
          <w:szCs w:val="24"/>
        </w:rPr>
        <w:t xml:space="preserve"> item (ii) </w:t>
      </w:r>
      <w:r w:rsidR="00666CD2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666CD2" w:rsidRPr="00666CD2">
        <w:rPr>
          <w:rFonts w:ascii="Arial" w:hAnsi="Arial" w:cs="Arial"/>
          <w:color w:val="000000" w:themeColor="text1"/>
          <w:sz w:val="24"/>
          <w:szCs w:val="24"/>
        </w:rPr>
        <w:t>Cabinet Office Order on Fina</w:t>
      </w:r>
      <w:r w:rsidR="00666CD2">
        <w:rPr>
          <w:rFonts w:ascii="Arial" w:hAnsi="Arial" w:cs="Arial"/>
          <w:color w:val="000000" w:themeColor="text1"/>
          <w:sz w:val="24"/>
          <w:szCs w:val="24"/>
        </w:rPr>
        <w:t>ncial Instruments Business, etc.</w:t>
      </w:r>
      <w:r w:rsidRPr="009102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148D6">
        <w:rPr>
          <w:rFonts w:ascii="Arial" w:hAnsi="Arial" w:cs="Arial"/>
          <w:color w:val="000000" w:themeColor="text1"/>
          <w:sz w:val="24"/>
          <w:szCs w:val="24"/>
        </w:rPr>
        <w:t xml:space="preserve">an </w:t>
      </w:r>
      <w:r w:rsidR="009102F5" w:rsidRPr="009102F5">
        <w:rPr>
          <w:rFonts w:ascii="Arial" w:hAnsi="Arial" w:cs="Arial"/>
          <w:color w:val="000000" w:themeColor="text1"/>
          <w:sz w:val="24"/>
          <w:szCs w:val="24"/>
        </w:rPr>
        <w:t xml:space="preserve">outline of </w:t>
      </w:r>
      <w:r w:rsidR="003148D6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9102F5" w:rsidRPr="009102F5">
        <w:rPr>
          <w:rFonts w:ascii="Arial" w:hAnsi="Arial" w:cs="Arial"/>
          <w:color w:val="000000" w:themeColor="text1"/>
          <w:sz w:val="24"/>
          <w:szCs w:val="24"/>
        </w:rPr>
        <w:t xml:space="preserve">foreign laws and regulations referred to in that item </w:t>
      </w:r>
    </w:p>
    <w:p w14:paraId="635128D9" w14:textId="58CB4392" w:rsidR="002B4B0D" w:rsidRDefault="002B4B0D" w:rsidP="00367B7F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2732"/>
        <w:gridCol w:w="5522"/>
      </w:tblGrid>
      <w:tr w:rsidR="002B4B0D" w14:paraId="6BCCE0BA" w14:textId="77777777" w:rsidTr="002B4B0D">
        <w:tc>
          <w:tcPr>
            <w:tcW w:w="2732" w:type="dxa"/>
          </w:tcPr>
          <w:p w14:paraId="555CC7CC" w14:textId="7EA27D09" w:rsidR="002B4B0D" w:rsidRDefault="002B4B0D" w:rsidP="00367B7F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234">
              <w:rPr>
                <w:rFonts w:ascii="Arial" w:hAnsi="Arial"/>
                <w:color w:val="000000" w:themeColor="text1"/>
                <w:sz w:val="24"/>
                <w:szCs w:val="24"/>
              </w:rPr>
              <w:t>Names of the invested business equity</w:t>
            </w:r>
          </w:p>
        </w:tc>
        <w:tc>
          <w:tcPr>
            <w:tcW w:w="5522" w:type="dxa"/>
            <w:vAlign w:val="center"/>
          </w:tcPr>
          <w:p w14:paraId="6369C58F" w14:textId="603BD56C" w:rsidR="002B4B0D" w:rsidRDefault="002B4B0D" w:rsidP="002B4B0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2B4B0D">
              <w:rPr>
                <w:rFonts w:ascii="Arial" w:hAnsi="Arial" w:cs="Arial"/>
                <w:color w:val="000000" w:themeColor="text1"/>
                <w:sz w:val="24"/>
                <w:szCs w:val="24"/>
              </w:rPr>
              <w:t>utline of the foreign laws and regulations</w:t>
            </w:r>
          </w:p>
        </w:tc>
      </w:tr>
      <w:tr w:rsidR="002B4B0D" w14:paraId="4151A0D5" w14:textId="77777777" w:rsidTr="002B4B0D">
        <w:tc>
          <w:tcPr>
            <w:tcW w:w="2732" w:type="dxa"/>
          </w:tcPr>
          <w:p w14:paraId="649F8FAE" w14:textId="34507014" w:rsidR="002B4B0D" w:rsidRPr="00CC2234" w:rsidRDefault="002B4B0D" w:rsidP="00367B7F">
            <w:pPr>
              <w:jc w:val="left"/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</w:tcPr>
          <w:p w14:paraId="5857F4A7" w14:textId="0CE881FD" w:rsidR="002B4B0D" w:rsidRDefault="002B4B0D" w:rsidP="00367B7F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C0CCD" w14:paraId="4A475C60" w14:textId="77777777" w:rsidTr="002B4B0D">
        <w:tc>
          <w:tcPr>
            <w:tcW w:w="2732" w:type="dxa"/>
          </w:tcPr>
          <w:p w14:paraId="0EC646A7" w14:textId="0BA4D677" w:rsidR="00AC0CCD" w:rsidRDefault="00AC0CCD" w:rsidP="00367B7F">
            <w:pPr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522" w:type="dxa"/>
          </w:tcPr>
          <w:p w14:paraId="67913FBE" w14:textId="4DC43DDD" w:rsidR="00AC0CCD" w:rsidRDefault="00AC0CCD" w:rsidP="00367B7F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6208BC5" w14:textId="08EC128E" w:rsidR="002B4B0D" w:rsidRPr="009102F5" w:rsidRDefault="00913E4D" w:rsidP="00367B7F">
      <w:pPr>
        <w:ind w:left="210" w:hangingChars="100" w:hanging="21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ＭＳ ゴシック" w:hAnsi="Arial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D9CBA" wp14:editId="2D8EB521">
                <wp:simplePos x="0" y="0"/>
                <wp:positionH relativeFrom="column">
                  <wp:posOffset>248792</wp:posOffset>
                </wp:positionH>
                <wp:positionV relativeFrom="paragraph">
                  <wp:posOffset>408812</wp:posOffset>
                </wp:positionV>
                <wp:extent cx="4377055" cy="1167384"/>
                <wp:effectExtent l="0" t="457200" r="1714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377055" cy="1167384"/>
                        </a:xfrm>
                        <a:prstGeom prst="wedgeRectCallout">
                          <a:avLst>
                            <a:gd name="adj1" fmla="val 6641"/>
                            <a:gd name="adj2" fmla="val 8780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74487" w14:textId="5AF620D5" w:rsidR="00913E4D" w:rsidRPr="00324809" w:rsidRDefault="006E6F7A" w:rsidP="00913E4D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If applicable, s</w:t>
                            </w:r>
                            <w:r w:rsidR="00CE0618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pecify the name of the relevant foreign laws and regulations, </w:t>
                            </w:r>
                            <w:r w:rsidR="00CB35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including </w:t>
                            </w:r>
                            <w:r w:rsidR="00CE0618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the applicable </w:t>
                            </w:r>
                            <w:r w:rsidR="00CB35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article </w:t>
                            </w:r>
                            <w:r w:rsidR="00CE0618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number</w:t>
                            </w:r>
                            <w:r w:rsidR="00CB35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</w:t>
                            </w:r>
                            <w:r w:rsidR="00CE0618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, under which any investor would be treated as equivalent to “Professional Investor” as defined in the FIEA, as well as </w:t>
                            </w:r>
                            <w:r w:rsidR="00CB35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an </w:t>
                            </w:r>
                            <w:r w:rsidR="00CE0618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outline of </w:t>
                            </w:r>
                            <w:r w:rsidR="00CB35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the </w:t>
                            </w:r>
                            <w:r w:rsidR="00CE0618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article</w:t>
                            </w:r>
                            <w:r w:rsidR="00CB35B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</w:t>
                            </w:r>
                            <w:r w:rsidR="00CE0618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9CBA" id="_x0000_s1028" type="#_x0000_t61" style="position:absolute;left:0;text-align:left;margin-left:19.6pt;margin-top:32.2pt;width:344.65pt;height:91.9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" adj="12234,29766" strokecolor="red" strokeweight=".25pt">
                <v:textbox inset="5.85pt,.7pt,5.85pt,.7pt">
                  <w:txbxContent>
                    <w:p w14:paraId="5B574487" w14:textId="5AF620D5" w:rsidR="00913E4D" w:rsidRPr="00324809" w:rsidRDefault="006E6F7A" w:rsidP="00913E4D">
                      <w:pPr>
                        <w:jc w:val="left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If applicable, s</w:t>
                      </w:r>
                      <w:r w:rsidR="00CE0618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pecify the name of the relevant foreign laws and regulations, </w:t>
                      </w:r>
                      <w:r w:rsidR="00CB35B6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including </w:t>
                      </w:r>
                      <w:r w:rsidR="00CE0618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the applicable </w:t>
                      </w:r>
                      <w:r w:rsidR="00CB35B6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article </w:t>
                      </w:r>
                      <w:r w:rsidR="00CE0618">
                        <w:rPr>
                          <w:rFonts w:ascii="Arial" w:hAnsi="Arial" w:cs="Arial"/>
                          <w:b/>
                          <w:color w:val="FF0000"/>
                        </w:rPr>
                        <w:t>number</w:t>
                      </w:r>
                      <w:r w:rsidR="00CB35B6">
                        <w:rPr>
                          <w:rFonts w:ascii="Arial" w:hAnsi="Arial" w:cs="Arial"/>
                          <w:b/>
                          <w:color w:val="FF0000"/>
                        </w:rPr>
                        <w:t>s</w:t>
                      </w:r>
                      <w:r w:rsidR="00CE0618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, under which any investor would be treated as equivalent to “Professional Investor” as defined in the FIEA, as well as </w:t>
                      </w:r>
                      <w:r w:rsidR="00CB35B6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an </w:t>
                      </w:r>
                      <w:r w:rsidR="00CE0618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outline of </w:t>
                      </w:r>
                      <w:r w:rsidR="00CB35B6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the </w:t>
                      </w:r>
                      <w:r w:rsidR="00CE0618">
                        <w:rPr>
                          <w:rFonts w:ascii="Arial" w:hAnsi="Arial" w:cs="Arial"/>
                          <w:b/>
                          <w:color w:val="FF0000"/>
                        </w:rPr>
                        <w:t>article</w:t>
                      </w:r>
                      <w:r w:rsidR="00CB35B6">
                        <w:rPr>
                          <w:rFonts w:ascii="Arial" w:hAnsi="Arial" w:cs="Arial"/>
                          <w:b/>
                          <w:color w:val="FF0000"/>
                        </w:rPr>
                        <w:t>s</w:t>
                      </w:r>
                      <w:r w:rsidR="00CE0618">
                        <w:rPr>
                          <w:rFonts w:ascii="Arial" w:hAnsi="Arial" w:cs="Arial"/>
                          <w:b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4B0D" w:rsidRPr="00910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EFFF4" w14:textId="77777777" w:rsidR="009468B5" w:rsidRDefault="009468B5" w:rsidP="00CB3770">
      <w:r>
        <w:separator/>
      </w:r>
    </w:p>
  </w:endnote>
  <w:endnote w:type="continuationSeparator" w:id="0">
    <w:p w14:paraId="305776D4" w14:textId="77777777" w:rsidR="009468B5" w:rsidRDefault="009468B5" w:rsidP="00CB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96C1E" w14:textId="77777777" w:rsidR="009468B5" w:rsidRDefault="009468B5" w:rsidP="00CB3770">
      <w:r>
        <w:separator/>
      </w:r>
    </w:p>
  </w:footnote>
  <w:footnote w:type="continuationSeparator" w:id="0">
    <w:p w14:paraId="1C5A055C" w14:textId="77777777" w:rsidR="009468B5" w:rsidRDefault="009468B5" w:rsidP="00CB3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E"/>
    <w:rsid w:val="00007B7E"/>
    <w:rsid w:val="00010993"/>
    <w:rsid w:val="000E1EB1"/>
    <w:rsid w:val="001050A0"/>
    <w:rsid w:val="001451FF"/>
    <w:rsid w:val="002174BA"/>
    <w:rsid w:val="002348EE"/>
    <w:rsid w:val="00255ED5"/>
    <w:rsid w:val="002A0752"/>
    <w:rsid w:val="002B4B0D"/>
    <w:rsid w:val="002D22D3"/>
    <w:rsid w:val="002D5AF5"/>
    <w:rsid w:val="003148D6"/>
    <w:rsid w:val="00367B7F"/>
    <w:rsid w:val="004B2230"/>
    <w:rsid w:val="005D4667"/>
    <w:rsid w:val="006245A3"/>
    <w:rsid w:val="00642B9D"/>
    <w:rsid w:val="00666CD2"/>
    <w:rsid w:val="006E6F7A"/>
    <w:rsid w:val="00700F41"/>
    <w:rsid w:val="00717DD3"/>
    <w:rsid w:val="007A798A"/>
    <w:rsid w:val="007D7672"/>
    <w:rsid w:val="008673BE"/>
    <w:rsid w:val="00873C54"/>
    <w:rsid w:val="009102F5"/>
    <w:rsid w:val="00913E4D"/>
    <w:rsid w:val="009468B5"/>
    <w:rsid w:val="009A2FE5"/>
    <w:rsid w:val="00A11903"/>
    <w:rsid w:val="00A347A6"/>
    <w:rsid w:val="00A54E12"/>
    <w:rsid w:val="00A961F8"/>
    <w:rsid w:val="00AC0CCD"/>
    <w:rsid w:val="00B24ADC"/>
    <w:rsid w:val="00B64D54"/>
    <w:rsid w:val="00BD2326"/>
    <w:rsid w:val="00C33163"/>
    <w:rsid w:val="00CB35B6"/>
    <w:rsid w:val="00CB3770"/>
    <w:rsid w:val="00CB3895"/>
    <w:rsid w:val="00CC2234"/>
    <w:rsid w:val="00CE0618"/>
    <w:rsid w:val="00CE6040"/>
    <w:rsid w:val="00D3112C"/>
    <w:rsid w:val="00E157F1"/>
    <w:rsid w:val="00E23563"/>
    <w:rsid w:val="00E3310E"/>
    <w:rsid w:val="00E37A6E"/>
    <w:rsid w:val="00E52470"/>
    <w:rsid w:val="00E549C5"/>
    <w:rsid w:val="00E808C6"/>
    <w:rsid w:val="00E84BE0"/>
    <w:rsid w:val="00F15D08"/>
    <w:rsid w:val="00F17A43"/>
    <w:rsid w:val="00F35E6D"/>
    <w:rsid w:val="00F735DE"/>
    <w:rsid w:val="00F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554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770"/>
  </w:style>
  <w:style w:type="paragraph" w:styleId="a6">
    <w:name w:val="footer"/>
    <w:basedOn w:val="a"/>
    <w:link w:val="a7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770"/>
  </w:style>
  <w:style w:type="paragraph" w:styleId="a8">
    <w:name w:val="List Paragraph"/>
    <w:basedOn w:val="a"/>
    <w:uiPriority w:val="34"/>
    <w:qFormat/>
    <w:rsid w:val="00B64D5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37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7A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2021-11-09T07:15:00Z</dcterms:created>
  <dcterms:modified xsi:type="dcterms:W3CDTF">2021-11-10T08:37:00Z</dcterms:modified>
</cp:coreProperties>
</file>