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4F0804" w:rsidRDefault="004F0804" w:rsidP="004F080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4F0804" w:rsidRDefault="00BB6331" w:rsidP="00BB6331">
      <w:pPr>
        <w:rPr>
          <w:rFonts w:hint="eastAsia"/>
        </w:rPr>
      </w:pPr>
    </w:p>
    <w:p w:rsidR="0056252A" w:rsidRDefault="0056252A" w:rsidP="0056252A">
      <w:pPr>
        <w:rPr>
          <w:rFonts w:hint="eastAsia"/>
        </w:rPr>
      </w:pPr>
      <w:r>
        <w:rPr>
          <w:rFonts w:hint="eastAsia"/>
        </w:rPr>
        <w:t>第二款　引受業務の一部の許可</w:t>
      </w:r>
    </w:p>
    <w:p w:rsidR="0056252A" w:rsidRDefault="0056252A" w:rsidP="0056252A"/>
    <w:p w:rsidR="0056252A" w:rsidRDefault="0056252A" w:rsidP="0056252A">
      <w:pPr>
        <w:rPr>
          <w:rFonts w:hint="eastAsia"/>
        </w:rPr>
      </w:pPr>
      <w:r>
        <w:rPr>
          <w:rFonts w:hint="eastAsia"/>
        </w:rPr>
        <w:t>（引受業務の一部の許可）</w:t>
      </w:r>
    </w:p>
    <w:p w:rsidR="0056252A" w:rsidRDefault="0056252A" w:rsidP="00D703D6">
      <w:pPr>
        <w:ind w:left="178" w:hangingChars="85" w:hanging="178"/>
        <w:rPr>
          <w:rFonts w:hint="eastAsia"/>
        </w:rPr>
      </w:pPr>
      <w:r>
        <w:rPr>
          <w:rFonts w:hint="eastAsia"/>
        </w:rPr>
        <w:t>第五十九条　外国証券業者は、第二十九条及び前条の規定にかかわらず、内閣総理大臣の許可を受けて、その行う有価証券の引受けの業務のうち、元引受契約（第二十一条第四項に規定する元引受契約をいう。次条第一項第六号ヘにおいて同じ。）への参加その他の行為で政令で定めるものを国内において行うこと（以下この節において「引受業務」という。）ができる。</w:t>
      </w:r>
    </w:p>
    <w:p w:rsidR="0056252A" w:rsidRDefault="0056252A" w:rsidP="00D703D6">
      <w:pPr>
        <w:ind w:left="178" w:hangingChars="85" w:hanging="178"/>
        <w:rPr>
          <w:rFonts w:hint="eastAsia"/>
        </w:rPr>
      </w:pPr>
      <w:r>
        <w:rPr>
          <w:rFonts w:hint="eastAsia"/>
        </w:rPr>
        <w:t>２　内閣総理大臣は、前項の許可に条件を付することができる。</w:t>
      </w:r>
    </w:p>
    <w:p w:rsidR="0056252A" w:rsidRDefault="0056252A" w:rsidP="00D703D6">
      <w:pPr>
        <w:ind w:left="178" w:hangingChars="85" w:hanging="178"/>
        <w:rPr>
          <w:rFonts w:hint="eastAsia"/>
        </w:rPr>
      </w:pPr>
      <w:r>
        <w:rPr>
          <w:rFonts w:hint="eastAsia"/>
        </w:rPr>
        <w:t>３　前項の条件は、公益又は投資者保護のため必要な最小限度のものでなければならない。</w:t>
      </w:r>
    </w:p>
    <w:p w:rsidR="00BB6331" w:rsidRDefault="0056252A" w:rsidP="00D703D6">
      <w:pPr>
        <w:ind w:left="178" w:hangingChars="85" w:hanging="178"/>
        <w:rPr>
          <w:rFonts w:hint="eastAsia"/>
        </w:rPr>
      </w:pPr>
      <w:r>
        <w:rPr>
          <w:rFonts w:hint="eastAsia"/>
        </w:rPr>
        <w:t>４　内閣総理大臣は、第二項の規定により条件を付することとしたときは、書面により、その旨を許可申請者に通知しなければならない。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A275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A2753">
        <w:tab/>
      </w:r>
      <w:r w:rsidR="009A275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A275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A275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A275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A275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A275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A2753">
        <w:rPr>
          <w:rFonts w:hint="eastAsia"/>
        </w:rPr>
        <w:t>（改正なし）</w:t>
      </w:r>
    </w:p>
    <w:p w:rsidR="00E8427B" w:rsidRDefault="00E8427B" w:rsidP="00E8427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703D6">
        <w:rPr>
          <w:rFonts w:hint="eastAsia"/>
        </w:rPr>
        <w:tab/>
      </w:r>
      <w:r w:rsidR="00D703D6">
        <w:rPr>
          <w:rFonts w:hint="eastAsia"/>
        </w:rPr>
        <w:t>（改正なし）</w:t>
      </w:r>
    </w:p>
    <w:p w:rsidR="00B65CA0" w:rsidRDefault="00BB6331" w:rsidP="00B65CA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65CA0" w:rsidRDefault="00B65CA0" w:rsidP="00B65CA0"/>
    <w:p w:rsidR="00B65CA0" w:rsidRDefault="00B65CA0" w:rsidP="00B65CA0">
      <w:r>
        <w:rPr>
          <w:rFonts w:hint="eastAsia"/>
        </w:rPr>
        <w:t>（改正後）</w:t>
      </w:r>
    </w:p>
    <w:p w:rsidR="00B65CA0" w:rsidRDefault="00B65CA0" w:rsidP="00B65CA0">
      <w:pPr>
        <w:rPr>
          <w:rFonts w:hint="eastAsia"/>
        </w:rPr>
      </w:pPr>
      <w:r>
        <w:rPr>
          <w:rFonts w:hint="eastAsia"/>
        </w:rPr>
        <w:t>第二款　引受業務の一部の許可</w:t>
      </w:r>
    </w:p>
    <w:p w:rsidR="00B65CA0" w:rsidRDefault="00B65CA0" w:rsidP="00B65CA0"/>
    <w:p w:rsidR="00B65CA0" w:rsidRDefault="00B65CA0" w:rsidP="00B65CA0">
      <w:pPr>
        <w:rPr>
          <w:rFonts w:hint="eastAsia"/>
        </w:rPr>
      </w:pPr>
      <w:r>
        <w:rPr>
          <w:rFonts w:hint="eastAsia"/>
        </w:rPr>
        <w:t>（引受業務の一部の許可）</w:t>
      </w:r>
    </w:p>
    <w:p w:rsidR="00B65CA0" w:rsidRDefault="00B65CA0" w:rsidP="00B65CA0">
      <w:pPr>
        <w:ind w:left="178" w:hangingChars="85" w:hanging="178"/>
        <w:rPr>
          <w:rFonts w:hint="eastAsia"/>
        </w:rPr>
      </w:pPr>
      <w:r>
        <w:rPr>
          <w:rFonts w:hint="eastAsia"/>
        </w:rPr>
        <w:t>第五十九条　外国証券業者は、第二十九条及び前条の規定にかかわらず、内閣総理大臣の許可を受けて、その行う有価証券の引受けの業務のうち、元引受契約（第二十一条第四項</w:t>
      </w:r>
      <w:r>
        <w:rPr>
          <w:rFonts w:hint="eastAsia"/>
        </w:rPr>
        <w:lastRenderedPageBreak/>
        <w:t>に規定する元引受契約をいう。次条第一項第六号ヘにおいて同じ。）ヘの参加その他の行為で政令で定めるものを国内において行うこと（以下この節において「引受業務」という。）ができる。</w:t>
      </w:r>
    </w:p>
    <w:p w:rsidR="00B65CA0" w:rsidRDefault="00B65CA0" w:rsidP="00B65CA0">
      <w:pPr>
        <w:ind w:left="178" w:hangingChars="85" w:hanging="178"/>
        <w:rPr>
          <w:rFonts w:hint="eastAsia"/>
        </w:rPr>
      </w:pPr>
      <w:r>
        <w:rPr>
          <w:rFonts w:hint="eastAsia"/>
        </w:rPr>
        <w:t>２　内閣総理大臣は、前項の許可に条件を付することができる。</w:t>
      </w:r>
    </w:p>
    <w:p w:rsidR="00B65CA0" w:rsidRDefault="00B65CA0" w:rsidP="00B65CA0">
      <w:pPr>
        <w:ind w:left="178" w:hangingChars="85" w:hanging="178"/>
        <w:rPr>
          <w:rFonts w:hint="eastAsia"/>
        </w:rPr>
      </w:pPr>
      <w:r>
        <w:rPr>
          <w:rFonts w:hint="eastAsia"/>
        </w:rPr>
        <w:t>３　前項の条件は、公益又は投資者保護のため必要な最小限度のものでなければならない。</w:t>
      </w:r>
    </w:p>
    <w:p w:rsidR="00B65CA0" w:rsidRDefault="00B65CA0" w:rsidP="00B65CA0">
      <w:pPr>
        <w:ind w:left="178" w:hangingChars="85" w:hanging="178"/>
        <w:rPr>
          <w:rFonts w:hint="eastAsia"/>
        </w:rPr>
      </w:pPr>
      <w:r>
        <w:rPr>
          <w:rFonts w:hint="eastAsia"/>
        </w:rPr>
        <w:t>４　内閣総理大臣は、第二項の規定により条件を付することとしたときは、書面により、その旨を許可申請者に通知しなければならない。</w:t>
      </w:r>
    </w:p>
    <w:p w:rsidR="00B65CA0" w:rsidRPr="00B65CA0" w:rsidRDefault="00B65CA0" w:rsidP="00B65CA0">
      <w:pPr>
        <w:ind w:left="178" w:hangingChars="85" w:hanging="178"/>
      </w:pPr>
    </w:p>
    <w:p w:rsidR="00B65CA0" w:rsidRDefault="00B65CA0" w:rsidP="00B65CA0">
      <w:pPr>
        <w:ind w:left="178" w:hangingChars="85" w:hanging="178"/>
      </w:pPr>
      <w:r>
        <w:rPr>
          <w:rFonts w:hint="eastAsia"/>
        </w:rPr>
        <w:t>（改正前）</w:t>
      </w:r>
    </w:p>
    <w:p w:rsidR="00B65CA0" w:rsidRDefault="00B65CA0" w:rsidP="00B65CA0">
      <w:pPr>
        <w:rPr>
          <w:u w:val="single" w:color="FF0000"/>
        </w:rPr>
      </w:pPr>
      <w:r>
        <w:rPr>
          <w:rFonts w:hint="eastAsia"/>
          <w:u w:val="single" w:color="FF0000"/>
        </w:rPr>
        <w:t>（新設）</w:t>
      </w:r>
    </w:p>
    <w:p w:rsidR="00473CC9" w:rsidRPr="00B65CA0" w:rsidRDefault="00473CC9" w:rsidP="00473CC9">
      <w:pPr>
        <w:rPr>
          <w:u w:color="FF0000"/>
        </w:rPr>
      </w:pPr>
    </w:p>
    <w:sectPr w:rsidR="00473CC9" w:rsidRPr="00B65CA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6C43" w:rsidRDefault="00246C43">
      <w:r>
        <w:separator/>
      </w:r>
    </w:p>
  </w:endnote>
  <w:endnote w:type="continuationSeparator" w:id="0">
    <w:p w:rsidR="00246C43" w:rsidRDefault="00246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B3EBC">
      <w:rPr>
        <w:rStyle w:val="a4"/>
        <w:noProof/>
      </w:rPr>
      <w:t>2</w:t>
    </w:r>
    <w:r>
      <w:rPr>
        <w:rStyle w:val="a4"/>
      </w:rPr>
      <w:fldChar w:fldCharType="end"/>
    </w:r>
  </w:p>
  <w:p w:rsidR="00BB6331" w:rsidRDefault="00D703D6"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59</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6C43" w:rsidRDefault="00246C43">
      <w:r>
        <w:separator/>
      </w:r>
    </w:p>
  </w:footnote>
  <w:footnote w:type="continuationSeparator" w:id="0">
    <w:p w:rsidR="00246C43" w:rsidRDefault="00246C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87605"/>
    <w:rsid w:val="000A26EB"/>
    <w:rsid w:val="00246C43"/>
    <w:rsid w:val="00246DBA"/>
    <w:rsid w:val="002D2464"/>
    <w:rsid w:val="003A1116"/>
    <w:rsid w:val="003D1FBB"/>
    <w:rsid w:val="00473CC9"/>
    <w:rsid w:val="004A3BCF"/>
    <w:rsid w:val="004F0804"/>
    <w:rsid w:val="0056252A"/>
    <w:rsid w:val="006F0D78"/>
    <w:rsid w:val="0075505F"/>
    <w:rsid w:val="007917A9"/>
    <w:rsid w:val="007A11DD"/>
    <w:rsid w:val="007F0CEA"/>
    <w:rsid w:val="008D73FD"/>
    <w:rsid w:val="009A2753"/>
    <w:rsid w:val="00A128F9"/>
    <w:rsid w:val="00AB307E"/>
    <w:rsid w:val="00B65CA0"/>
    <w:rsid w:val="00BB6331"/>
    <w:rsid w:val="00CC724D"/>
    <w:rsid w:val="00D703D6"/>
    <w:rsid w:val="00DC3946"/>
    <w:rsid w:val="00E2610E"/>
    <w:rsid w:val="00E8427B"/>
    <w:rsid w:val="00E94A4B"/>
    <w:rsid w:val="00EA42B1"/>
    <w:rsid w:val="00F331CF"/>
    <w:rsid w:val="00F348BC"/>
    <w:rsid w:val="00FB3E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5CA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703D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29396">
      <w:bodyDiv w:val="1"/>
      <w:marLeft w:val="0"/>
      <w:marRight w:val="0"/>
      <w:marTop w:val="0"/>
      <w:marBottom w:val="0"/>
      <w:divBdr>
        <w:top w:val="none" w:sz="0" w:space="0" w:color="auto"/>
        <w:left w:val="none" w:sz="0" w:space="0" w:color="auto"/>
        <w:bottom w:val="none" w:sz="0" w:space="0" w:color="auto"/>
        <w:right w:val="none" w:sz="0" w:space="0" w:color="auto"/>
      </w:divBdr>
    </w:div>
    <w:div w:id="70349927">
      <w:bodyDiv w:val="1"/>
      <w:marLeft w:val="0"/>
      <w:marRight w:val="0"/>
      <w:marTop w:val="0"/>
      <w:marBottom w:val="0"/>
      <w:divBdr>
        <w:top w:val="none" w:sz="0" w:space="0" w:color="auto"/>
        <w:left w:val="none" w:sz="0" w:space="0" w:color="auto"/>
        <w:bottom w:val="none" w:sz="0" w:space="0" w:color="auto"/>
        <w:right w:val="none" w:sz="0" w:space="0" w:color="auto"/>
      </w:divBdr>
    </w:div>
    <w:div w:id="231502808">
      <w:bodyDiv w:val="1"/>
      <w:marLeft w:val="0"/>
      <w:marRight w:val="0"/>
      <w:marTop w:val="0"/>
      <w:marBottom w:val="0"/>
      <w:divBdr>
        <w:top w:val="none" w:sz="0" w:space="0" w:color="auto"/>
        <w:left w:val="none" w:sz="0" w:space="0" w:color="auto"/>
        <w:bottom w:val="none" w:sz="0" w:space="0" w:color="auto"/>
        <w:right w:val="none" w:sz="0" w:space="0" w:color="auto"/>
      </w:divBdr>
    </w:div>
    <w:div w:id="273875658">
      <w:bodyDiv w:val="1"/>
      <w:marLeft w:val="0"/>
      <w:marRight w:val="0"/>
      <w:marTop w:val="0"/>
      <w:marBottom w:val="0"/>
      <w:divBdr>
        <w:top w:val="none" w:sz="0" w:space="0" w:color="auto"/>
        <w:left w:val="none" w:sz="0" w:space="0" w:color="auto"/>
        <w:bottom w:val="none" w:sz="0" w:space="0" w:color="auto"/>
        <w:right w:val="none" w:sz="0" w:space="0" w:color="auto"/>
      </w:divBdr>
    </w:div>
    <w:div w:id="374889076">
      <w:bodyDiv w:val="1"/>
      <w:marLeft w:val="0"/>
      <w:marRight w:val="0"/>
      <w:marTop w:val="0"/>
      <w:marBottom w:val="0"/>
      <w:divBdr>
        <w:top w:val="none" w:sz="0" w:space="0" w:color="auto"/>
        <w:left w:val="none" w:sz="0" w:space="0" w:color="auto"/>
        <w:bottom w:val="none" w:sz="0" w:space="0" w:color="auto"/>
        <w:right w:val="none" w:sz="0" w:space="0" w:color="auto"/>
      </w:divBdr>
    </w:div>
    <w:div w:id="418412255">
      <w:bodyDiv w:val="1"/>
      <w:marLeft w:val="0"/>
      <w:marRight w:val="0"/>
      <w:marTop w:val="0"/>
      <w:marBottom w:val="0"/>
      <w:divBdr>
        <w:top w:val="none" w:sz="0" w:space="0" w:color="auto"/>
        <w:left w:val="none" w:sz="0" w:space="0" w:color="auto"/>
        <w:bottom w:val="none" w:sz="0" w:space="0" w:color="auto"/>
        <w:right w:val="none" w:sz="0" w:space="0" w:color="auto"/>
      </w:divBdr>
    </w:div>
    <w:div w:id="644089377">
      <w:bodyDiv w:val="1"/>
      <w:marLeft w:val="0"/>
      <w:marRight w:val="0"/>
      <w:marTop w:val="0"/>
      <w:marBottom w:val="0"/>
      <w:divBdr>
        <w:top w:val="none" w:sz="0" w:space="0" w:color="auto"/>
        <w:left w:val="none" w:sz="0" w:space="0" w:color="auto"/>
        <w:bottom w:val="none" w:sz="0" w:space="0" w:color="auto"/>
        <w:right w:val="none" w:sz="0" w:space="0" w:color="auto"/>
      </w:divBdr>
    </w:div>
    <w:div w:id="664866581">
      <w:bodyDiv w:val="1"/>
      <w:marLeft w:val="0"/>
      <w:marRight w:val="0"/>
      <w:marTop w:val="0"/>
      <w:marBottom w:val="0"/>
      <w:divBdr>
        <w:top w:val="none" w:sz="0" w:space="0" w:color="auto"/>
        <w:left w:val="none" w:sz="0" w:space="0" w:color="auto"/>
        <w:bottom w:val="none" w:sz="0" w:space="0" w:color="auto"/>
        <w:right w:val="none" w:sz="0" w:space="0" w:color="auto"/>
      </w:divBdr>
    </w:div>
    <w:div w:id="1102535673">
      <w:bodyDiv w:val="1"/>
      <w:marLeft w:val="0"/>
      <w:marRight w:val="0"/>
      <w:marTop w:val="0"/>
      <w:marBottom w:val="0"/>
      <w:divBdr>
        <w:top w:val="none" w:sz="0" w:space="0" w:color="auto"/>
        <w:left w:val="none" w:sz="0" w:space="0" w:color="auto"/>
        <w:bottom w:val="none" w:sz="0" w:space="0" w:color="auto"/>
        <w:right w:val="none" w:sz="0" w:space="0" w:color="auto"/>
      </w:divBdr>
    </w:div>
    <w:div w:id="1203595763">
      <w:bodyDiv w:val="1"/>
      <w:marLeft w:val="0"/>
      <w:marRight w:val="0"/>
      <w:marTop w:val="0"/>
      <w:marBottom w:val="0"/>
      <w:divBdr>
        <w:top w:val="none" w:sz="0" w:space="0" w:color="auto"/>
        <w:left w:val="none" w:sz="0" w:space="0" w:color="auto"/>
        <w:bottom w:val="none" w:sz="0" w:space="0" w:color="auto"/>
        <w:right w:val="none" w:sz="0" w:space="0" w:color="auto"/>
      </w:divBdr>
    </w:div>
    <w:div w:id="1438134233">
      <w:bodyDiv w:val="1"/>
      <w:marLeft w:val="0"/>
      <w:marRight w:val="0"/>
      <w:marTop w:val="0"/>
      <w:marBottom w:val="0"/>
      <w:divBdr>
        <w:top w:val="none" w:sz="0" w:space="0" w:color="auto"/>
        <w:left w:val="none" w:sz="0" w:space="0" w:color="auto"/>
        <w:bottom w:val="none" w:sz="0" w:space="0" w:color="auto"/>
        <w:right w:val="none" w:sz="0" w:space="0" w:color="auto"/>
      </w:divBdr>
    </w:div>
    <w:div w:id="1466389577">
      <w:bodyDiv w:val="1"/>
      <w:marLeft w:val="0"/>
      <w:marRight w:val="0"/>
      <w:marTop w:val="0"/>
      <w:marBottom w:val="0"/>
      <w:divBdr>
        <w:top w:val="none" w:sz="0" w:space="0" w:color="auto"/>
        <w:left w:val="none" w:sz="0" w:space="0" w:color="auto"/>
        <w:bottom w:val="none" w:sz="0" w:space="0" w:color="auto"/>
        <w:right w:val="none" w:sz="0" w:space="0" w:color="auto"/>
      </w:divBdr>
    </w:div>
    <w:div w:id="1667398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150</Words>
  <Characters>855</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金融商品取引法第59条</vt:lpstr>
      <vt:lpstr>金融商品取引法第59条</vt:lpstr>
    </vt:vector>
  </TitlesOfParts>
  <Manager/>
  <Company/>
  <LinksUpToDate>false</LinksUpToDate>
  <CharactersWithSpaces>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金融商品取引法第59条</dc:title>
  <dc:subject/>
  <dc:creator/>
  <cp:keywords/>
  <dc:description/>
  <cp:lastModifiedBy/>
  <cp:revision>1</cp:revision>
  <dcterms:created xsi:type="dcterms:W3CDTF">2024-09-04T06:00:00Z</dcterms:created>
  <dcterms:modified xsi:type="dcterms:W3CDTF">2024-09-04T06:00:00Z</dcterms:modified>
</cp:coreProperties>
</file>