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0" w:firstLineChars="2423"/>
        <w:rPr>
          <w:rFonts w:hint="eastAsia" w:ascii="ＭＳ ゴシック" w:hAnsi="ＭＳ ゴシック" w:eastAsia="ＭＳ ゴシック"/>
          <w:sz w:val="26"/>
        </w:rPr>
      </w:pPr>
      <w:bookmarkStart w:id="0" w:name="_GoBack"/>
      <w:bookmarkEnd w:id="0"/>
      <w:r>
        <w:rPr>
          <w:rFonts w:hint="eastAsia" w:ascii="ＭＳ ゴシック" w:hAnsi="ＭＳ ゴシック" w:eastAsia="ＭＳ ゴシック"/>
          <w:sz w:val="26"/>
        </w:rPr>
        <w:t>令和○年○月○日</w:t>
      </w:r>
    </w:p>
    <w:p>
      <w:pPr>
        <w:pStyle w:val="0"/>
        <w:rPr>
          <w:rFonts w:hint="eastAsia" w:ascii="ＭＳ ゴシック" w:hAnsi="ＭＳ ゴシック" w:eastAsia="ＭＳ ゴシック"/>
          <w:sz w:val="26"/>
        </w:rPr>
      </w:pPr>
      <w:r>
        <w:rPr>
          <w:rFonts w:hint="eastAsia" w:ascii="ＭＳ ゴシック" w:hAnsi="ＭＳ ゴシック" w:eastAsia="ＭＳ ゴシック"/>
          <w:sz w:val="26"/>
        </w:rPr>
        <w:t>証券取引等監視委員会</w:t>
      </w:r>
    </w:p>
    <w:p>
      <w:pPr>
        <w:pStyle w:val="0"/>
        <w:rPr>
          <w:rFonts w:hint="eastAsia" w:ascii="ＭＳ ゴシック" w:hAnsi="ＭＳ ゴシック" w:eastAsia="ＭＳ ゴシック"/>
          <w:sz w:val="26"/>
        </w:rPr>
      </w:pPr>
      <w:r>
        <w:rPr>
          <w:rFonts w:hint="eastAsia" w:ascii="ＭＳ ゴシック" w:hAnsi="ＭＳ ゴシック" w:eastAsia="ＭＳ ゴシック"/>
          <w:sz w:val="26"/>
        </w:rPr>
        <w:t>事務局長　○○○○　殿</w:t>
      </w:r>
    </w:p>
    <w:p>
      <w:pPr>
        <w:pStyle w:val="0"/>
        <w:rPr>
          <w:rFonts w:hint="eastAsia" w:ascii="ＭＳ ゴシック" w:hAnsi="ＭＳ ゴシック" w:eastAsia="ＭＳ ゴシック"/>
          <w:sz w:val="26"/>
        </w:rPr>
      </w:pPr>
      <w:r>
        <w:rPr>
          <w:rFonts w:hint="eastAsia" w:ascii="ＭＳ ゴシック" w:hAnsi="ＭＳ ゴシック" w:eastAsia="ＭＳ ゴシック"/>
          <w:sz w:val="26"/>
        </w:rPr>
        <w:t>　　　　　　　　　　　　　　　　　　　</w:t>
      </w:r>
      <w:r>
        <w:rPr>
          <w:rFonts w:hint="eastAsia" w:ascii="ＭＳ ゴシック" w:hAnsi="ＭＳ ゴシック" w:eastAsia="ＭＳ ゴシック"/>
          <w:kern w:val="0"/>
          <w:sz w:val="26"/>
          <w:fitText w:val="1560" w:id="1"/>
        </w:rPr>
        <w:t>検査対象先名</w:t>
      </w:r>
      <w:r>
        <w:rPr>
          <w:rFonts w:hint="eastAsia" w:ascii="ＭＳ ゴシック" w:hAnsi="ＭＳ ゴシック" w:eastAsia="ＭＳ ゴシック"/>
          <w:sz w:val="26"/>
        </w:rPr>
        <w:t>　○○○○</w:t>
      </w:r>
    </w:p>
    <w:p>
      <w:pPr>
        <w:pStyle w:val="0"/>
        <w:rPr>
          <w:rFonts w:hint="eastAsia" w:ascii="ＭＳ ゴシック" w:hAnsi="ＭＳ ゴシック" w:eastAsia="ＭＳ ゴシック"/>
          <w:sz w:val="26"/>
        </w:rPr>
      </w:pPr>
      <w:r>
        <w:rPr>
          <w:rFonts w:hint="eastAsia" w:ascii="ＭＳ ゴシック" w:hAnsi="ＭＳ ゴシック" w:eastAsia="ＭＳ ゴシック"/>
          <w:sz w:val="26"/>
        </w:rPr>
        <w:t>　　　　　　　　　　　　　　　　　　　</w:t>
      </w:r>
      <w:r>
        <w:rPr>
          <w:rFonts w:hint="eastAsia" w:ascii="ＭＳ ゴシック" w:hAnsi="ＭＳ ゴシック" w:eastAsia="ＭＳ ゴシック"/>
          <w:spacing w:val="86"/>
          <w:kern w:val="0"/>
          <w:sz w:val="26"/>
          <w:fitText w:val="1560" w:id="2"/>
        </w:rPr>
        <w:t>代表者</w:t>
      </w:r>
      <w:r>
        <w:rPr>
          <w:rFonts w:hint="eastAsia" w:ascii="ＭＳ ゴシック" w:hAnsi="ＭＳ ゴシック" w:eastAsia="ＭＳ ゴシック"/>
          <w:spacing w:val="2"/>
          <w:kern w:val="0"/>
          <w:sz w:val="26"/>
          <w:fitText w:val="1560" w:id="2"/>
        </w:rPr>
        <w:t>名</w:t>
      </w:r>
      <w:r>
        <w:rPr>
          <w:rFonts w:hint="eastAsia" w:ascii="ＭＳ ゴシック" w:hAnsi="ＭＳ ゴシック" w:eastAsia="ＭＳ ゴシック"/>
          <w:sz w:val="26"/>
        </w:rPr>
        <w:t>　○○○○　</w:t>
      </w:r>
    </w:p>
    <w:p>
      <w:pPr>
        <w:pStyle w:val="0"/>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30"/>
        </w:rPr>
      </w:pPr>
      <w:r>
        <w:rPr>
          <w:rFonts w:hint="eastAsia" w:ascii="ＭＳ ゴシック" w:hAnsi="ＭＳ ゴシック" w:eastAsia="ＭＳ ゴシック"/>
          <w:sz w:val="30"/>
        </w:rPr>
        <w:t>第三者非開示承諾書</w:t>
      </w:r>
    </w:p>
    <w:p>
      <w:pPr>
        <w:pStyle w:val="0"/>
        <w:ind w:firstLine="2160" w:firstLineChars="900"/>
        <w:rPr>
          <w:rFonts w:hint="eastAsia" w:ascii="ＭＳ ゴシック" w:hAnsi="ＭＳ ゴシック" w:eastAsia="ＭＳ ゴシック"/>
          <w:sz w:val="24"/>
        </w:rPr>
      </w:pPr>
    </w:p>
    <w:p>
      <w:pPr>
        <w:pStyle w:val="0"/>
        <w:spacing w:line="360" w:lineRule="auto"/>
        <w:rPr>
          <w:rFonts w:hint="eastAsia" w:ascii="ＭＳ ゴシック" w:hAnsi="ＭＳ ゴシック" w:eastAsia="ＭＳ ゴシック"/>
          <w:sz w:val="28"/>
        </w:rPr>
      </w:pPr>
      <w:r>
        <w:rPr>
          <w:rFonts w:hint="eastAsia" w:ascii="ＭＳ ゴシック" w:hAnsi="ＭＳ ゴシック" w:eastAsia="ＭＳ ゴシック"/>
          <w:sz w:val="28"/>
        </w:rPr>
        <w:t>　当社は、検査に関する検査関係情報の内容について、検査終了通知書受領前であれば主任検査官、検査終了通知書受領後であれば証券検査課長の事前の承諾なく、第三者に開示しないことを承諾する。</w:t>
      </w:r>
    </w:p>
    <w:p>
      <w:pPr>
        <w:pStyle w:val="0"/>
        <w:spacing w:line="360" w:lineRule="auto"/>
        <w:rPr>
          <w:rFonts w:hint="eastAsia" w:ascii="ＭＳ ゴシック" w:hAnsi="ＭＳ ゴシック" w:eastAsia="ＭＳ ゴシック"/>
          <w:sz w:val="28"/>
        </w:rPr>
      </w:pPr>
      <w:r>
        <w:rPr>
          <w:rFonts w:hint="eastAsia" w:ascii="ＭＳ ゴシック" w:hAnsi="ＭＳ ゴシック" w:eastAsia="ＭＳ ゴシック"/>
          <w:sz w:val="28"/>
        </w:rPr>
        <w:t>　</w:t>
      </w:r>
    </w:p>
    <w:p>
      <w:pPr>
        <w:pStyle w:val="0"/>
        <w:spacing w:line="360" w:lineRule="auto"/>
        <w:ind w:left="360" w:hanging="360" w:hangingChars="15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注１</w:t>
      </w:r>
      <w:r>
        <w:rPr>
          <w:rFonts w:hint="eastAsia" w:ascii="ＭＳ ゴシック" w:hAnsi="ＭＳ ゴシック" w:eastAsia="ＭＳ ゴシック"/>
          <w:sz w:val="24"/>
        </w:rPr>
        <w:t>)</w:t>
      </w:r>
      <w:r>
        <w:rPr>
          <w:rFonts w:hint="eastAsia" w:ascii="ＭＳ ゴシック" w:hAnsi="ＭＳ ゴシック" w:eastAsia="ＭＳ ゴシック"/>
          <w:sz w:val="24"/>
        </w:rPr>
        <w:t>「検査関係情報」とは、検査を受けている事実、検査中の検査官からの質問、指摘、要請その他検査官と検査対象先の役職員等とのやりとりの内容及び検査終了通知書をいう。</w:t>
      </w:r>
    </w:p>
    <w:p>
      <w:pPr>
        <w:pStyle w:val="0"/>
        <w:spacing w:line="360" w:lineRule="auto"/>
        <w:ind w:left="360" w:hanging="360" w:hangingChars="15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注２</w:t>
      </w:r>
      <w:r>
        <w:rPr>
          <w:rFonts w:hint="eastAsia" w:ascii="ＭＳ ゴシック" w:hAnsi="ＭＳ ゴシック" w:eastAsia="ＭＳ ゴシック"/>
          <w:sz w:val="24"/>
        </w:rPr>
        <w:t>)</w:t>
      </w:r>
      <w:r>
        <w:rPr>
          <w:rFonts w:hint="eastAsia" w:ascii="ＭＳ ゴシック" w:hAnsi="ＭＳ ゴシック" w:eastAsia="ＭＳ ゴシック"/>
        </w:rPr>
        <w:t xml:space="preserve"> </w:t>
      </w:r>
      <w:r>
        <w:rPr>
          <w:rFonts w:hint="eastAsia" w:ascii="ＭＳ ゴシック" w:hAnsi="ＭＳ ゴシック" w:eastAsia="ＭＳ ゴシック"/>
          <w:sz w:val="24"/>
        </w:rPr>
        <w:t>検査・監督部局、自主規制機関及びこれらに準ずると認められる者並びに検査対象先の組織内に設置された内部管理を目的とした委員会等の構成員となっている外部の弁護士、公認会計士、不動産鑑定士等の専門家については、開示制限の対象となる第三者に該当しないものとする。</w:t>
      </w:r>
    </w:p>
    <w:p>
      <w:pPr>
        <w:pStyle w:val="0"/>
        <w:spacing w:line="360" w:lineRule="auto"/>
        <w:ind w:left="360" w:hanging="360" w:hangingChars="15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注３</w:t>
      </w:r>
      <w:r>
        <w:rPr>
          <w:rFonts w:hint="eastAsia" w:ascii="ＭＳ ゴシック" w:hAnsi="ＭＳ ゴシック" w:eastAsia="ＭＳ ゴシック"/>
          <w:sz w:val="24"/>
        </w:rPr>
        <w:t>)</w:t>
      </w:r>
      <w:r>
        <w:rPr>
          <w:rFonts w:hint="eastAsia" w:ascii="ＭＳ ゴシック" w:hAnsi="ＭＳ ゴシック" w:eastAsia="ＭＳ ゴシック"/>
          <w:sz w:val="24"/>
        </w:rPr>
        <w:t>当社が、検査期間中に、今回の検査に係る検査関係情報を契約関係にある外部の弁護士、公認会計士、不動産鑑定士等の専門家に開示の上、相談しようとする場合については、主任検査官への事前の報告を求めた上で、主任検査官が検査の実効性の確保及び保秘の観点で支障がないと判断した場合は、当該報告で足りるものとして取り扱う。</w:t>
      </w:r>
    </w:p>
    <w:p>
      <w:pPr>
        <w:pStyle w:val="17"/>
        <w:rPr>
          <w:rFonts w:hint="eastAsia" w:ascii="ＭＳ ゴシック" w:hAnsi="ＭＳ ゴシック" w:eastAsia="ＭＳ ゴシック"/>
          <w:sz w:val="28"/>
        </w:rPr>
      </w:pPr>
      <w:r>
        <w:rPr>
          <w:rFonts w:hint="eastAsia" w:ascii="ＭＳ ゴシック" w:hAnsi="ＭＳ ゴシック" w:eastAsia="ＭＳ ゴシック"/>
          <w:sz w:val="28"/>
        </w:rPr>
        <w:t>以　上</w:t>
      </w:r>
    </w:p>
    <w:sectPr>
      <w:headerReference r:id="rId5" w:type="default"/>
      <w:pgSz w:w="11906" w:h="16838"/>
      <w:pgMar w:top="1985" w:right="1646"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ＭＳ ゴシック" w:hAnsi="ＭＳ ゴシック" w:eastAsia="ＭＳ ゴシック"/>
        <w:sz w:val="26"/>
      </w:rPr>
    </w:pPr>
  </w:p>
  <w:p>
    <w:pPr>
      <w:pStyle w:val="0"/>
      <w:jc w:val="right"/>
      <w:rPr>
        <w:rFonts w:hint="eastAsia" w:ascii="ＭＳ ゴシック" w:hAnsi="ＭＳ ゴシック" w:eastAsia="ＭＳ ゴシック"/>
        <w:sz w:val="26"/>
      </w:rPr>
    </w:pPr>
    <w:r>
      <w:rPr>
        <w:rFonts w:hint="eastAsia" w:ascii="ＭＳ ゴシック" w:hAnsi="ＭＳ ゴシック" w:eastAsia="ＭＳ ゴシック"/>
        <w:sz w:val="26"/>
      </w:rPr>
      <w:t>　　　</w:t>
    </w:r>
    <w:r>
      <w:rPr>
        <w:rFonts w:hint="eastAsia" w:ascii="ＭＳ ゴシック" w:hAnsi="ＭＳ ゴシック" w:eastAsia="ＭＳ ゴシック"/>
        <w:sz w:val="26"/>
      </w:rPr>
      <w:t>(</w:t>
    </w:r>
    <w:r>
      <w:rPr>
        <w:rFonts w:hint="eastAsia" w:ascii="ＭＳ ゴシック" w:hAnsi="ＭＳ ゴシック" w:eastAsia="ＭＳ ゴシック"/>
        <w:sz w:val="26"/>
      </w:rPr>
      <w:t>様式２</w:t>
    </w:r>
    <w:r>
      <w:rPr>
        <w:rFonts w:hint="eastAsia" w:ascii="ＭＳ ゴシック" w:hAnsi="ＭＳ ゴシック" w:eastAsia="ＭＳ ゴシック"/>
        <w:sz w:val="26"/>
      </w:rPr>
      <w:t>)</w:t>
    </w:r>
  </w:p>
  <w:p>
    <w:pPr>
      <w:pStyle w:val="22"/>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rPr>
      <w:sz w:val="26"/>
    </w:rPr>
  </w:style>
  <w:style w:type="paragraph" w:styleId="17">
    <w:name w:val="Closing"/>
    <w:basedOn w:val="0"/>
    <w:next w:val="17"/>
    <w:link w:val="0"/>
    <w:uiPriority w:val="0"/>
    <w:pPr>
      <w:jc w:val="right"/>
    </w:pPr>
    <w:rPr>
      <w:sz w:val="26"/>
    </w:rPr>
  </w:style>
  <w:style w:type="paragraph" w:styleId="18">
    <w:name w:val="Balloon Text"/>
    <w:basedOn w:val="0"/>
    <w:next w:val="18"/>
    <w:link w:val="0"/>
    <w:uiPriority w:val="0"/>
    <w:semiHidden/>
    <w:rPr>
      <w:rFonts w:ascii="Arial" w:hAnsi="Arial" w:eastAsia="ＭＳ ゴシック"/>
      <w:sz w:val="18"/>
    </w:rPr>
  </w:style>
  <w:style w:type="character" w:styleId="19">
    <w:name w:val="annotation reference"/>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517</Characters>
  <Application>JUST Note</Application>
  <Lines>25</Lines>
  <Paragraphs>12</Paragraphs>
  <CharactersWithSpaces>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2021-02-22T06:33:00Z</dcterms:created>
  <dcterms:modified xsi:type="dcterms:W3CDTF">2021-02-22T06:33:32Z</dcterms:modified>
  <cp:revision>1</cp:revision>
</cp:coreProperties>
</file>